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Guidance on Event Publicity – Warkworth Memorial Hall</w:t>
        <w:tab/>
        <w:tab/>
        <w:t xml:space="preserve">29/7/25</w:t>
        <w:tab/>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These notes are intended to help you publicise events at the Hall, whilst giving consideration to poster </w:t>
      </w:r>
      <w:r w:rsidDel="00000000" w:rsidR="00000000" w:rsidRPr="00000000">
        <w:rPr>
          <w:b w:val="0"/>
          <w:bCs w:val="0"/>
          <w:rtl w:val="0"/>
        </w:rPr>
        <w:t xml:space="preserve">usage and size constraints suggested below. Queries and suggested changes to this paper should be sent to </w:t>
      </w:r>
      <w:hyperlink r:id="rId6">
        <w:r w:rsidDel="00000000" w:rsidR="00000000" w:rsidRPr="00000000">
          <w:rPr>
            <w:color w:val="000080"/>
            <w:u w:val="single"/>
            <w:rtl w:val="0"/>
          </w:rPr>
          <w:t xml:space="preserve">peter.burnham@gmail.com</w:t>
        </w:r>
      </w:hyperlink>
      <w:r w:rsidDel="00000000" w:rsidR="00000000" w:rsidRPr="00000000">
        <w:rPr>
          <w:rtl w:val="0"/>
        </w:rPr>
        <w:t xml:space="preserve"> .</w:t>
      </w:r>
    </w:p>
    <w:p w:rsidR="00000000" w:rsidDel="00000000" w:rsidP="00000000" w:rsidRDefault="00000000" w:rsidRPr="00000000" w14:paraId="00000004">
      <w:pPr>
        <w:rPr>
          <w:b w:val="0"/>
          <w:bCs w:val="0"/>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Notice Boards:</w:t>
      </w:r>
      <w:r w:rsidDel="00000000" w:rsidR="00000000" w:rsidRPr="00000000">
        <w:rPr>
          <w:rtl w:val="0"/>
        </w:rPr>
      </w:r>
    </w:p>
    <w:p w:rsidR="00000000" w:rsidDel="00000000" w:rsidP="00000000" w:rsidRDefault="00000000" w:rsidRPr="00000000" w14:paraId="00000006">
      <w:pPr>
        <w:rPr>
          <w:b w:val="0"/>
          <w:bCs w:val="0"/>
        </w:rPr>
      </w:pPr>
      <w:r w:rsidDel="00000000" w:rsidR="00000000" w:rsidRPr="00000000">
        <w:rPr>
          <w:rtl w:val="0"/>
        </w:rPr>
      </w:r>
    </w:p>
    <w:p w:rsidR="00000000" w:rsidDel="00000000" w:rsidP="00000000" w:rsidRDefault="00000000" w:rsidRPr="00000000" w14:paraId="00000007">
      <w:pPr>
        <w:numPr>
          <w:ilvl w:val="0"/>
          <w:numId w:val="2"/>
        </w:numPr>
        <w:ind w:left="227" w:hanging="227"/>
        <w:rPr/>
      </w:pPr>
      <w:r w:rsidDel="00000000" w:rsidR="00000000" w:rsidRPr="00000000">
        <w:rPr>
          <w:rtl w:val="0"/>
        </w:rPr>
        <w:t xml:space="preserve">The Memorial Hall external notice board is of limited size and is restricted to Hall based events. If space is available this can be used for A5 posters of dated events.  It can also be used for start-up activities, but space limitations mean that such notices can not be permanent.  We will provide an A4 poster listing all of the Hall’s regular activities. </w:t>
      </w:r>
    </w:p>
    <w:p w:rsidR="00000000" w:rsidDel="00000000" w:rsidP="00000000" w:rsidRDefault="00000000" w:rsidRPr="00000000" w14:paraId="00000008">
      <w:pPr>
        <w:numPr>
          <w:ilvl w:val="0"/>
          <w:numId w:val="2"/>
        </w:numPr>
        <w:ind w:left="227" w:hanging="227"/>
        <w:rPr/>
      </w:pPr>
      <w:r w:rsidDel="00000000" w:rsidR="00000000" w:rsidRPr="00000000">
        <w:rPr>
          <w:rtl w:val="0"/>
        </w:rPr>
        <w:t xml:space="preserve">The internal notice board (on your left through the main doors) is able to take A4 posters for dated and for ongoing activities. It can also be used for other local events, but Hall based events will take priority.</w:t>
      </w:r>
    </w:p>
    <w:p w:rsidR="00000000" w:rsidDel="00000000" w:rsidP="00000000" w:rsidRDefault="00000000" w:rsidRPr="00000000" w14:paraId="00000009">
      <w:pPr>
        <w:numPr>
          <w:ilvl w:val="0"/>
          <w:numId w:val="2"/>
        </w:numPr>
        <w:ind w:left="227" w:hanging="227"/>
        <w:rPr/>
      </w:pPr>
      <w:r w:rsidDel="00000000" w:rsidR="00000000" w:rsidRPr="00000000">
        <w:rPr>
          <w:rtl w:val="0"/>
        </w:rPr>
        <w:t xml:space="preserve">The Parish Council has a notice board on Castle Street (outside Grey’s) and a smaller board on Morwick Road. Notices on the Morwick Road board should be limited to A5. The Castle Street board can accommodate A4 posters for one-off events, but please try to limit any ongoing activities to A5.</w:t>
      </w:r>
    </w:p>
    <w:p w:rsidR="00000000" w:rsidDel="00000000" w:rsidP="00000000" w:rsidRDefault="00000000" w:rsidRPr="00000000" w14:paraId="0000000A">
      <w:pPr>
        <w:numPr>
          <w:ilvl w:val="0"/>
          <w:numId w:val="2"/>
        </w:numPr>
        <w:ind w:left="227" w:hanging="227"/>
        <w:rPr/>
      </w:pPr>
      <w:r w:rsidDel="00000000" w:rsidR="00000000" w:rsidRPr="00000000">
        <w:rPr>
          <w:rtl w:val="0"/>
        </w:rPr>
        <w:t xml:space="preserve">There is a local events Notice Board in the entrance to St Lawrence’s Church and the Village Store may be willing to display event posters.</w:t>
      </w:r>
    </w:p>
    <w:p w:rsidR="00000000" w:rsidDel="00000000" w:rsidP="00000000" w:rsidRDefault="00000000" w:rsidRPr="00000000" w14:paraId="0000000B">
      <w:pPr>
        <w:numPr>
          <w:ilvl w:val="0"/>
          <w:numId w:val="2"/>
        </w:numPr>
        <w:ind w:left="227" w:hanging="227"/>
        <w:rPr/>
      </w:pPr>
      <w:r w:rsidDel="00000000" w:rsidR="00000000" w:rsidRPr="00000000">
        <w:rPr>
          <w:rtl w:val="0"/>
        </w:rPr>
        <w:t xml:space="preserve">Although not a Hall responsibility, we do not encourage use of posters on lampposts etc.. This is a Northumberland County Council matter and their advice is available online – do a search for ‘fly posting’ at </w:t>
      </w:r>
      <w:hyperlink r:id="rId7">
        <w:r w:rsidDel="00000000" w:rsidR="00000000" w:rsidRPr="00000000">
          <w:rPr>
            <w:color w:val="000080"/>
            <w:u w:val="single"/>
            <w:rtl w:val="0"/>
          </w:rPr>
          <w:t xml:space="preserve">https://www.northumberland.gov.uk</w:t>
        </w:r>
      </w:hyperlink>
      <w:r w:rsidDel="00000000" w:rsidR="00000000" w:rsidRPr="00000000">
        <w:rPr>
          <w:rtl w:val="0"/>
        </w:rPr>
        <w:t xml:space="preserve"> .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Internet Publicity</w:t>
      </w:r>
      <w:r w:rsidDel="00000000" w:rsidR="00000000" w:rsidRPr="00000000">
        <w:rPr>
          <w:rtl w:val="0"/>
        </w:rPr>
      </w:r>
    </w:p>
    <w:p w:rsidR="00000000" w:rsidDel="00000000" w:rsidP="00000000" w:rsidRDefault="00000000" w:rsidRPr="00000000" w14:paraId="0000000E">
      <w:pPr>
        <w:numPr>
          <w:ilvl w:val="0"/>
          <w:numId w:val="2"/>
        </w:numPr>
        <w:ind w:left="227" w:hanging="227"/>
        <w:rPr/>
      </w:pPr>
      <w:r w:rsidDel="00000000" w:rsidR="00000000" w:rsidRPr="00000000">
        <w:rPr>
          <w:rtl w:val="0"/>
        </w:rPr>
        <w:t xml:space="preserve">One-off or regular events can be publicised via our web site at wwmh.uk . Please submit suggested text to </w:t>
      </w:r>
      <w:hyperlink r:id="rId8">
        <w:r w:rsidDel="00000000" w:rsidR="00000000" w:rsidRPr="00000000">
          <w:rPr>
            <w:color w:val="000080"/>
            <w:u w:val="single"/>
            <w:rtl w:val="0"/>
          </w:rPr>
          <w:t xml:space="preserve">peter.burnham@gmail.com</w:t>
        </w:r>
      </w:hyperlink>
      <w:r w:rsidDel="00000000" w:rsidR="00000000" w:rsidRPr="00000000">
        <w:rPr>
          <w:rtl w:val="0"/>
        </w:rPr>
        <w:t xml:space="preserve"> . Posters in pdf, jpg or word format can be published, </w:t>
      </w:r>
      <w:r w:rsidDel="00000000" w:rsidR="00000000" w:rsidRPr="00000000">
        <w:rPr>
          <w:i w:val="0"/>
          <w:iCs w:val="0"/>
          <w:rtl w:val="0"/>
        </w:rPr>
        <w:t xml:space="preserve">but these must be in landscape, not portrait, format due to limitations imposed by our web provider.</w:t>
      </w:r>
      <w:r w:rsidDel="00000000" w:rsidR="00000000" w:rsidRPr="00000000">
        <w:rPr>
          <w:rtl w:val="0"/>
        </w:rPr>
      </w:r>
    </w:p>
    <w:p w:rsidR="00000000" w:rsidDel="00000000" w:rsidP="00000000" w:rsidRDefault="00000000" w:rsidRPr="00000000" w14:paraId="0000000F">
      <w:pPr>
        <w:numPr>
          <w:ilvl w:val="0"/>
          <w:numId w:val="2"/>
        </w:numPr>
        <w:ind w:left="227" w:hanging="227"/>
        <w:rPr/>
      </w:pPr>
      <w:r w:rsidDel="00000000" w:rsidR="00000000" w:rsidRPr="00000000">
        <w:rPr>
          <w:rtl w:val="0"/>
        </w:rPr>
        <w:t xml:space="preserve">Social Media: There are Facebook sites for Warkworth, Amble and various other local villages that are generally receptive to event notification. You can search within Facebook for the relevant village name.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Publications</w:t>
      </w:r>
    </w:p>
    <w:p w:rsidR="00000000" w:rsidDel="00000000" w:rsidP="00000000" w:rsidRDefault="00000000" w:rsidRPr="00000000" w14:paraId="00000012">
      <w:pPr>
        <w:numPr>
          <w:ilvl w:val="0"/>
          <w:numId w:val="1"/>
        </w:numPr>
        <w:ind w:left="227" w:hanging="227"/>
        <w:rPr/>
      </w:pPr>
      <w:r w:rsidDel="00000000" w:rsidR="00000000" w:rsidRPr="00000000">
        <w:rPr>
          <w:rtl w:val="0"/>
        </w:rPr>
        <w:t xml:space="preserve">The Pelican is a church and community magazine for Warkworth, Acklington and Guyzance. Ambler is a community magazine for Amble. Details for both of these can be found online. They both accept adverts for local events.</w:t>
      </w:r>
    </w:p>
    <w:p w:rsidR="00000000" w:rsidDel="00000000" w:rsidP="00000000" w:rsidRDefault="00000000" w:rsidRPr="00000000" w14:paraId="00000013">
      <w:pPr>
        <w:numPr>
          <w:ilvl w:val="0"/>
          <w:numId w:val="1"/>
        </w:numPr>
        <w:ind w:left="227" w:hanging="227"/>
        <w:rPr/>
      </w:pPr>
      <w:r w:rsidDel="00000000" w:rsidR="00000000" w:rsidRPr="00000000">
        <w:rPr>
          <w:rtl w:val="0"/>
        </w:rPr>
        <w:t xml:space="preserve">The local paper is the Northumberland Gazette and submissions to this can be made online via yourworld.net .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27" w:hanging="227"/>
      </w:pPr>
      <w:rPr>
        <w:rFonts w:ascii="Noto Sans Symbols" w:cs="Noto Sans Symbols" w:eastAsia="Noto Sans Symbols" w:hAnsi="Noto Sans Symbols"/>
      </w:rPr>
    </w:lvl>
    <w:lvl w:ilvl="1">
      <w:start w:val="1"/>
      <w:numFmt w:val="bullet"/>
      <w:lvlText w:val="●"/>
      <w:lvlJc w:val="left"/>
      <w:pPr>
        <w:ind w:left="454" w:hanging="227"/>
      </w:pPr>
      <w:rPr>
        <w:rFonts w:ascii="Noto Sans Symbols" w:cs="Noto Sans Symbols" w:eastAsia="Noto Sans Symbols" w:hAnsi="Noto Sans Symbols"/>
      </w:rPr>
    </w:lvl>
    <w:lvl w:ilvl="2">
      <w:start w:val="1"/>
      <w:numFmt w:val="bullet"/>
      <w:lvlText w:val="●"/>
      <w:lvlJc w:val="left"/>
      <w:pPr>
        <w:ind w:left="680" w:hanging="227"/>
      </w:pPr>
      <w:rPr>
        <w:rFonts w:ascii="Noto Sans Symbols" w:cs="Noto Sans Symbols" w:eastAsia="Noto Sans Symbols" w:hAnsi="Noto Sans Symbols"/>
      </w:rPr>
    </w:lvl>
    <w:lvl w:ilvl="3">
      <w:start w:val="1"/>
      <w:numFmt w:val="bullet"/>
      <w:lvlText w:val="●"/>
      <w:lvlJc w:val="left"/>
      <w:pPr>
        <w:ind w:left="907" w:hanging="227"/>
      </w:pPr>
      <w:rPr>
        <w:rFonts w:ascii="Noto Sans Symbols" w:cs="Noto Sans Symbols" w:eastAsia="Noto Sans Symbols" w:hAnsi="Noto Sans Symbols"/>
      </w:rPr>
    </w:lvl>
    <w:lvl w:ilvl="4">
      <w:start w:val="1"/>
      <w:numFmt w:val="bullet"/>
      <w:lvlText w:val="●"/>
      <w:lvlJc w:val="left"/>
      <w:pPr>
        <w:ind w:left="1134" w:hanging="227"/>
      </w:pPr>
      <w:rPr>
        <w:rFonts w:ascii="Noto Sans Symbols" w:cs="Noto Sans Symbols" w:eastAsia="Noto Sans Symbols" w:hAnsi="Noto Sans Symbols"/>
      </w:rPr>
    </w:lvl>
    <w:lvl w:ilvl="5">
      <w:start w:val="1"/>
      <w:numFmt w:val="bullet"/>
      <w:lvlText w:val="●"/>
      <w:lvlJc w:val="left"/>
      <w:pPr>
        <w:ind w:left="1361" w:hanging="227"/>
      </w:pPr>
      <w:rPr>
        <w:rFonts w:ascii="Noto Sans Symbols" w:cs="Noto Sans Symbols" w:eastAsia="Noto Sans Symbols" w:hAnsi="Noto Sans Symbols"/>
      </w:rPr>
    </w:lvl>
    <w:lvl w:ilvl="6">
      <w:start w:val="1"/>
      <w:numFmt w:val="bullet"/>
      <w:lvlText w:val="●"/>
      <w:lvlJc w:val="left"/>
      <w:pPr>
        <w:ind w:left="1587" w:hanging="227"/>
      </w:pPr>
      <w:rPr>
        <w:rFonts w:ascii="Noto Sans Symbols" w:cs="Noto Sans Symbols" w:eastAsia="Noto Sans Symbols" w:hAnsi="Noto Sans Symbols"/>
      </w:rPr>
    </w:lvl>
    <w:lvl w:ilvl="7">
      <w:start w:val="1"/>
      <w:numFmt w:val="bullet"/>
      <w:lvlText w:val="●"/>
      <w:lvlJc w:val="left"/>
      <w:pPr>
        <w:ind w:left="1814" w:hanging="226.99999999999977"/>
      </w:pPr>
      <w:rPr>
        <w:rFonts w:ascii="Noto Sans Symbols" w:cs="Noto Sans Symbols" w:eastAsia="Noto Sans Symbols" w:hAnsi="Noto Sans Symbols"/>
      </w:rPr>
    </w:lvl>
    <w:lvl w:ilvl="8">
      <w:start w:val="1"/>
      <w:numFmt w:val="bullet"/>
      <w:lvlText w:val="●"/>
      <w:lvlJc w:val="left"/>
      <w:pPr>
        <w:ind w:left="2041" w:hanging="227"/>
      </w:pPr>
      <w:rPr>
        <w:rFonts w:ascii="Noto Sans Symbols" w:cs="Noto Sans Symbols" w:eastAsia="Noto Sans Symbols" w:hAnsi="Noto Sans Symbols"/>
      </w:rPr>
    </w:lvl>
  </w:abstractNum>
  <w:abstractNum w:abstractNumId="2">
    <w:lvl w:ilvl="0">
      <w:start w:val="1"/>
      <w:numFmt w:val="bullet"/>
      <w:lvlText w:val="●"/>
      <w:lvlJc w:val="left"/>
      <w:pPr>
        <w:ind w:left="227" w:hanging="227"/>
      </w:pPr>
      <w:rPr>
        <w:rFonts w:ascii="Noto Sans Symbols" w:cs="Noto Sans Symbols" w:eastAsia="Noto Sans Symbols" w:hAnsi="Noto Sans Symbols"/>
      </w:rPr>
    </w:lvl>
    <w:lvl w:ilvl="1">
      <w:start w:val="1"/>
      <w:numFmt w:val="bullet"/>
      <w:lvlText w:val="●"/>
      <w:lvlJc w:val="left"/>
      <w:pPr>
        <w:ind w:left="454" w:hanging="227"/>
      </w:pPr>
      <w:rPr>
        <w:rFonts w:ascii="Noto Sans Symbols" w:cs="Noto Sans Symbols" w:eastAsia="Noto Sans Symbols" w:hAnsi="Noto Sans Symbols"/>
      </w:rPr>
    </w:lvl>
    <w:lvl w:ilvl="2">
      <w:start w:val="1"/>
      <w:numFmt w:val="bullet"/>
      <w:lvlText w:val="●"/>
      <w:lvlJc w:val="left"/>
      <w:pPr>
        <w:ind w:left="680" w:hanging="227"/>
      </w:pPr>
      <w:rPr>
        <w:rFonts w:ascii="Noto Sans Symbols" w:cs="Noto Sans Symbols" w:eastAsia="Noto Sans Symbols" w:hAnsi="Noto Sans Symbols"/>
      </w:rPr>
    </w:lvl>
    <w:lvl w:ilvl="3">
      <w:start w:val="1"/>
      <w:numFmt w:val="bullet"/>
      <w:lvlText w:val="●"/>
      <w:lvlJc w:val="left"/>
      <w:pPr>
        <w:ind w:left="907" w:hanging="227"/>
      </w:pPr>
      <w:rPr>
        <w:rFonts w:ascii="Noto Sans Symbols" w:cs="Noto Sans Symbols" w:eastAsia="Noto Sans Symbols" w:hAnsi="Noto Sans Symbols"/>
      </w:rPr>
    </w:lvl>
    <w:lvl w:ilvl="4">
      <w:start w:val="1"/>
      <w:numFmt w:val="bullet"/>
      <w:lvlText w:val="●"/>
      <w:lvlJc w:val="left"/>
      <w:pPr>
        <w:ind w:left="1134" w:hanging="227"/>
      </w:pPr>
      <w:rPr>
        <w:rFonts w:ascii="Noto Sans Symbols" w:cs="Noto Sans Symbols" w:eastAsia="Noto Sans Symbols" w:hAnsi="Noto Sans Symbols"/>
      </w:rPr>
    </w:lvl>
    <w:lvl w:ilvl="5">
      <w:start w:val="1"/>
      <w:numFmt w:val="bullet"/>
      <w:lvlText w:val="●"/>
      <w:lvlJc w:val="left"/>
      <w:pPr>
        <w:ind w:left="1361" w:hanging="227"/>
      </w:pPr>
      <w:rPr>
        <w:rFonts w:ascii="Noto Sans Symbols" w:cs="Noto Sans Symbols" w:eastAsia="Noto Sans Symbols" w:hAnsi="Noto Sans Symbols"/>
      </w:rPr>
    </w:lvl>
    <w:lvl w:ilvl="6">
      <w:start w:val="1"/>
      <w:numFmt w:val="bullet"/>
      <w:lvlText w:val="●"/>
      <w:lvlJc w:val="left"/>
      <w:pPr>
        <w:ind w:left="1587" w:hanging="227"/>
      </w:pPr>
      <w:rPr>
        <w:rFonts w:ascii="Noto Sans Symbols" w:cs="Noto Sans Symbols" w:eastAsia="Noto Sans Symbols" w:hAnsi="Noto Sans Symbols"/>
      </w:rPr>
    </w:lvl>
    <w:lvl w:ilvl="7">
      <w:start w:val="1"/>
      <w:numFmt w:val="bullet"/>
      <w:lvlText w:val="●"/>
      <w:lvlJc w:val="left"/>
      <w:pPr>
        <w:ind w:left="1814" w:hanging="226.99999999999977"/>
      </w:pPr>
      <w:rPr>
        <w:rFonts w:ascii="Noto Sans Symbols" w:cs="Noto Sans Symbols" w:eastAsia="Noto Sans Symbols" w:hAnsi="Noto Sans Symbols"/>
      </w:rPr>
    </w:lvl>
    <w:lvl w:ilvl="8">
      <w:start w:val="1"/>
      <w:numFmt w:val="bullet"/>
      <w:lvlText w:val="●"/>
      <w:lvlJc w:val="left"/>
      <w:pPr>
        <w:ind w:left="2041" w:hanging="227"/>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eter.burnham@gmail.com" TargetMode="External"/><Relationship Id="rId7" Type="http://schemas.openxmlformats.org/officeDocument/2006/relationships/hyperlink" Target="https://www.northumberland.gov.uk/" TargetMode="External"/><Relationship Id="rId8" Type="http://schemas.openxmlformats.org/officeDocument/2006/relationships/hyperlink" Target="mailto:peter.burnham@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