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WARKWORTH WAR MEMORIAL HALL - PURCHASING POLICY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Due diligence is expected in all Hall expenditure in order to obtain value for money considering price, ability to deliver in required time-scale, perceived quality and any warranties/guarantees. Purchases are normally made by the Treasurer, Secretary or Chairman, but they may occasionally nominate another individual to purchase, within an agreed limit.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Capital Purchases: </w:t>
      </w:r>
      <w:r w:rsidDel="00000000" w:rsidR="00000000" w:rsidRPr="00000000">
        <w:rPr>
          <w:rtl w:val="0"/>
        </w:rPr>
        <w:t xml:space="preserve">Any anticipated purchase over £500 must be referred to the Trustees for ratification.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Building works and Services: </w:t>
      </w:r>
      <w:r w:rsidDel="00000000" w:rsidR="00000000" w:rsidRPr="00000000">
        <w:rPr>
          <w:rtl w:val="0"/>
        </w:rPr>
        <w:t xml:space="preserve">For works in the range £300 to £2,000 we will seek 3 written estimates. Above this level, we will seek 3 written quotations. Any variation to this and any works costing in excess of £500 must be agreed by the Trustees. There may be exceptional situations where the Chairman, in consultation with the Treasurer/Secretary (depending upon availability) must take immediate action for later ratification by the Trustees.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Utilities: </w:t>
      </w:r>
      <w:r w:rsidDel="00000000" w:rsidR="00000000" w:rsidRPr="00000000">
        <w:rPr>
          <w:rtl w:val="0"/>
        </w:rPr>
        <w:t xml:space="preserve">Best value will be obtained through use of comparison sites and negotiation. All agreements will be referred to the Trustees for information.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Insurance:</w:t>
      </w:r>
      <w:r w:rsidDel="00000000" w:rsidR="00000000" w:rsidRPr="00000000">
        <w:rPr>
          <w:rtl w:val="0"/>
        </w:rPr>
        <w:t xml:space="preserve"> This will normally be handled as a competitive tendering process. If this is not considered practicable, a supplier may be selected on a “sole-supplier” basis after due consideration and justification to the Trustees.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Approved suppliers: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An approved Suppliers Register will be developed and maintained by the Secretary which will be used as a reference for future contracts. The list will be reviewed and amended based on experience on an ongoing basis.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Documentation: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Records shall be maintained of all procurements and purchase sufficient to demonstrate compliance with this procedure . Records may be hard copy or electronic  but shall be retained for a minimum period of 7 years.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UK Procurement Regulations: </w:t>
      </w:r>
      <w:r w:rsidDel="00000000" w:rsidR="00000000" w:rsidRPr="00000000">
        <w:rPr>
          <w:rtl w:val="0"/>
        </w:rPr>
        <w:t xml:space="preserve">The Trustees acknowledge the four principles of procurement incorporated in UK Procurement Regulations. These are: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Transparency: keeping all documents and recording decisions in such a way as to ensure that the process can be seen to be fair and transparent.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Equal treatment: all potential supplies have the same opportunity to quote for and supply goods and services regardless of where they are based.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Proportionality: contracts or specifications do not require information that is not pertinent to the delivery of the goods and services being purchased.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Non –discrimination: awards for contracts are not based solely on geography, previous contractual arrangements etc.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Approved and adopted:  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10">
      <w:pPr>
        <w:pageBreakBefore w:val="0"/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