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6236" w14:textId="05DF998C" w:rsidR="00504658" w:rsidRPr="00504658" w:rsidRDefault="00000000" w:rsidP="00504658">
      <w:pPr>
        <w:pStyle w:val="Body"/>
        <w:jc w:val="center"/>
        <w:rPr>
          <w:b/>
          <w:bCs/>
          <w:sz w:val="28"/>
          <w:szCs w:val="28"/>
        </w:rPr>
      </w:pPr>
      <w:r>
        <w:rPr>
          <w:b/>
          <w:bCs/>
          <w:sz w:val="28"/>
          <w:szCs w:val="28"/>
        </w:rPr>
        <w:t>Hiring Policy</w:t>
      </w:r>
      <w:r w:rsidR="00DA3738">
        <w:rPr>
          <w:b/>
          <w:bCs/>
          <w:sz w:val="28"/>
          <w:szCs w:val="28"/>
        </w:rPr>
        <w:t xml:space="preserve"> (Room Hire)</w:t>
      </w:r>
    </w:p>
    <w:p w14:paraId="311733A3" w14:textId="77777777" w:rsidR="00F3790F" w:rsidRDefault="00000000">
      <w:pPr>
        <w:pStyle w:val="ListParagraph"/>
        <w:numPr>
          <w:ilvl w:val="0"/>
          <w:numId w:val="2"/>
        </w:numPr>
        <w:rPr>
          <w:sz w:val="24"/>
          <w:szCs w:val="24"/>
        </w:rPr>
      </w:pPr>
      <w:r>
        <w:rPr>
          <w:sz w:val="24"/>
          <w:szCs w:val="24"/>
        </w:rPr>
        <w:t>All hirers are required to sign a formal Hire Agreement.</w:t>
      </w:r>
    </w:p>
    <w:p w14:paraId="6224C74F" w14:textId="77777777" w:rsidR="00F3790F" w:rsidRDefault="00000000">
      <w:pPr>
        <w:pStyle w:val="ListParagraph"/>
        <w:numPr>
          <w:ilvl w:val="0"/>
          <w:numId w:val="2"/>
        </w:numPr>
        <w:rPr>
          <w:sz w:val="24"/>
          <w:szCs w:val="24"/>
        </w:rPr>
      </w:pPr>
      <w:r>
        <w:rPr>
          <w:sz w:val="24"/>
          <w:szCs w:val="24"/>
        </w:rPr>
        <w:t>Rooms are hired by the hour or session.</w:t>
      </w:r>
    </w:p>
    <w:p w14:paraId="37FF0C66" w14:textId="26915137" w:rsidR="00F3790F" w:rsidRDefault="003D5AB3">
      <w:pPr>
        <w:pStyle w:val="ListParagraph"/>
        <w:numPr>
          <w:ilvl w:val="0"/>
          <w:numId w:val="2"/>
        </w:numPr>
        <w:rPr>
          <w:sz w:val="24"/>
          <w:szCs w:val="24"/>
        </w:rPr>
      </w:pPr>
      <w:r>
        <w:rPr>
          <w:sz w:val="24"/>
          <w:szCs w:val="24"/>
        </w:rPr>
        <w:t>There will be standard hire rates for each room.  Discounts will be applied for regular users, regular commercial users and members organizing private events.</w:t>
      </w:r>
    </w:p>
    <w:p w14:paraId="4E8B71B5" w14:textId="77777777" w:rsidR="00F3790F" w:rsidRDefault="00000000">
      <w:pPr>
        <w:pStyle w:val="ListParagraph"/>
        <w:numPr>
          <w:ilvl w:val="0"/>
          <w:numId w:val="2"/>
        </w:numPr>
        <w:rPr>
          <w:sz w:val="24"/>
          <w:szCs w:val="24"/>
        </w:rPr>
      </w:pPr>
      <w:r>
        <w:rPr>
          <w:sz w:val="24"/>
          <w:szCs w:val="24"/>
        </w:rPr>
        <w:t>Maximum occupancy numbers apply to each room and are made clear in the Hire Agreement.</w:t>
      </w:r>
    </w:p>
    <w:p w14:paraId="18FC5772" w14:textId="639332A0" w:rsidR="007538C5" w:rsidRPr="00145D4B" w:rsidRDefault="007538C5">
      <w:pPr>
        <w:pStyle w:val="ListParagraph"/>
        <w:numPr>
          <w:ilvl w:val="0"/>
          <w:numId w:val="2"/>
        </w:numPr>
        <w:rPr>
          <w:sz w:val="24"/>
          <w:szCs w:val="24"/>
        </w:rPr>
      </w:pPr>
      <w:r w:rsidRPr="00EB28C8">
        <w:rPr>
          <w:sz w:val="24"/>
          <w:szCs w:val="24"/>
        </w:rPr>
        <w:t xml:space="preserve">The hall holds a PRS </w:t>
      </w:r>
      <w:proofErr w:type="spellStart"/>
      <w:r w:rsidRPr="00EB28C8">
        <w:rPr>
          <w:sz w:val="24"/>
          <w:szCs w:val="24"/>
        </w:rPr>
        <w:t>licence</w:t>
      </w:r>
      <w:proofErr w:type="spellEnd"/>
      <w:r w:rsidRPr="00EB28C8">
        <w:rPr>
          <w:sz w:val="24"/>
          <w:szCs w:val="24"/>
        </w:rPr>
        <w:t xml:space="preserve"> for the playing of live music.  The hall does not hold a PPL </w:t>
      </w:r>
      <w:proofErr w:type="spellStart"/>
      <w:r w:rsidRPr="00EB28C8">
        <w:rPr>
          <w:sz w:val="24"/>
          <w:szCs w:val="24"/>
        </w:rPr>
        <w:t>licence</w:t>
      </w:r>
      <w:proofErr w:type="spellEnd"/>
      <w:r w:rsidRPr="00EB28C8">
        <w:rPr>
          <w:sz w:val="24"/>
          <w:szCs w:val="24"/>
        </w:rPr>
        <w:t xml:space="preserve"> for the playing of recorded music, or a </w:t>
      </w:r>
      <w:proofErr w:type="spellStart"/>
      <w:r w:rsidRPr="00EB28C8">
        <w:rPr>
          <w:sz w:val="24"/>
          <w:szCs w:val="24"/>
        </w:rPr>
        <w:t>licence</w:t>
      </w:r>
      <w:proofErr w:type="spellEnd"/>
      <w:r w:rsidRPr="00EB28C8">
        <w:rPr>
          <w:sz w:val="24"/>
          <w:szCs w:val="24"/>
        </w:rPr>
        <w:t xml:space="preserve"> for the public showing of films, DVDs or streamed film content.  </w:t>
      </w:r>
      <w:r w:rsidR="00EB28C8" w:rsidRPr="00EB28C8">
        <w:rPr>
          <w:rFonts w:eastAsia="Arial Unicode MS"/>
          <w:color w:val="auto"/>
          <w:sz w:val="24"/>
          <w:szCs w:val="24"/>
          <w:lang w:eastAsia="en-US"/>
        </w:rPr>
        <w:t xml:space="preserve">The Hirer is responsible for obtaining all necessary </w:t>
      </w:r>
      <w:proofErr w:type="spellStart"/>
      <w:r w:rsidR="00EB28C8" w:rsidRPr="00EB28C8">
        <w:rPr>
          <w:rFonts w:eastAsia="Arial Unicode MS"/>
          <w:color w:val="auto"/>
          <w:sz w:val="24"/>
          <w:szCs w:val="24"/>
          <w:lang w:eastAsia="en-US"/>
        </w:rPr>
        <w:t>licences</w:t>
      </w:r>
      <w:proofErr w:type="spellEnd"/>
      <w:r w:rsidR="00EB28C8" w:rsidRPr="00EB28C8">
        <w:rPr>
          <w:rFonts w:eastAsia="Arial Unicode MS"/>
          <w:color w:val="auto"/>
          <w:sz w:val="24"/>
          <w:szCs w:val="24"/>
          <w:lang w:eastAsia="en-US"/>
        </w:rPr>
        <w:t xml:space="preserve"> for the use of recorded music, or for showing films, during the period of hire.</w:t>
      </w:r>
    </w:p>
    <w:p w14:paraId="34F693CB" w14:textId="67B2A9B7" w:rsidR="00145D4B" w:rsidRPr="00EB28C8" w:rsidRDefault="00145D4B">
      <w:pPr>
        <w:pStyle w:val="ListParagraph"/>
        <w:numPr>
          <w:ilvl w:val="0"/>
          <w:numId w:val="2"/>
        </w:numPr>
        <w:rPr>
          <w:sz w:val="24"/>
          <w:szCs w:val="24"/>
        </w:rPr>
      </w:pPr>
      <w:r>
        <w:rPr>
          <w:rFonts w:eastAsia="Arial Unicode MS"/>
          <w:color w:val="auto"/>
          <w:sz w:val="24"/>
          <w:szCs w:val="24"/>
          <w:lang w:eastAsia="en-US"/>
        </w:rPr>
        <w:t xml:space="preserve">The hall does not hold a TV </w:t>
      </w:r>
      <w:proofErr w:type="spellStart"/>
      <w:r>
        <w:rPr>
          <w:rFonts w:eastAsia="Arial Unicode MS"/>
          <w:color w:val="auto"/>
          <w:sz w:val="24"/>
          <w:szCs w:val="24"/>
          <w:lang w:eastAsia="en-US"/>
        </w:rPr>
        <w:t>licence</w:t>
      </w:r>
      <w:proofErr w:type="spellEnd"/>
      <w:r>
        <w:rPr>
          <w:rFonts w:eastAsia="Arial Unicode MS"/>
          <w:color w:val="auto"/>
          <w:sz w:val="24"/>
          <w:szCs w:val="24"/>
          <w:lang w:eastAsia="en-US"/>
        </w:rPr>
        <w:t>.  Hirers must not access TV ser</w:t>
      </w:r>
      <w:r w:rsidR="00DF32CB">
        <w:rPr>
          <w:rFonts w:eastAsia="Arial Unicode MS"/>
          <w:color w:val="auto"/>
          <w:sz w:val="24"/>
          <w:szCs w:val="24"/>
          <w:lang w:eastAsia="en-US"/>
        </w:rPr>
        <w:t>v</w:t>
      </w:r>
      <w:r>
        <w:rPr>
          <w:rFonts w:eastAsia="Arial Unicode MS"/>
          <w:color w:val="auto"/>
          <w:sz w:val="24"/>
          <w:szCs w:val="24"/>
          <w:lang w:eastAsia="en-US"/>
        </w:rPr>
        <w:t xml:space="preserve">ices, including </w:t>
      </w:r>
      <w:proofErr w:type="spellStart"/>
      <w:r>
        <w:rPr>
          <w:rFonts w:eastAsia="Arial Unicode MS"/>
          <w:color w:val="auto"/>
          <w:sz w:val="24"/>
          <w:szCs w:val="24"/>
          <w:lang w:eastAsia="en-US"/>
        </w:rPr>
        <w:t>iPlayer</w:t>
      </w:r>
      <w:proofErr w:type="spellEnd"/>
      <w:r>
        <w:rPr>
          <w:rFonts w:eastAsia="Arial Unicode MS"/>
          <w:color w:val="auto"/>
          <w:sz w:val="24"/>
          <w:szCs w:val="24"/>
          <w:lang w:eastAsia="en-US"/>
        </w:rPr>
        <w:t>, on any devices brought into the premises.</w:t>
      </w:r>
    </w:p>
    <w:p w14:paraId="537C72EB" w14:textId="7DFC4469" w:rsidR="00F3790F" w:rsidRPr="00AC635C" w:rsidRDefault="00000000" w:rsidP="00AC635C">
      <w:pPr>
        <w:pStyle w:val="ListParagraph"/>
        <w:numPr>
          <w:ilvl w:val="0"/>
          <w:numId w:val="2"/>
        </w:numPr>
        <w:rPr>
          <w:sz w:val="24"/>
          <w:szCs w:val="24"/>
        </w:rPr>
      </w:pPr>
      <w:r>
        <w:rPr>
          <w:sz w:val="24"/>
          <w:szCs w:val="24"/>
        </w:rPr>
        <w:t xml:space="preserve">In addition to the limitations set out </w:t>
      </w:r>
      <w:r w:rsidR="00145D4B">
        <w:rPr>
          <w:sz w:val="24"/>
          <w:szCs w:val="24"/>
        </w:rPr>
        <w:t>above</w:t>
      </w:r>
      <w:r>
        <w:rPr>
          <w:sz w:val="24"/>
          <w:szCs w:val="24"/>
        </w:rPr>
        <w:t>, the following limitations apply:</w:t>
      </w:r>
    </w:p>
    <w:p w14:paraId="68517A62" w14:textId="77777777" w:rsidR="00F3790F" w:rsidRDefault="00000000">
      <w:pPr>
        <w:pStyle w:val="Body"/>
        <w:ind w:left="720"/>
        <w:rPr>
          <w:sz w:val="24"/>
          <w:szCs w:val="24"/>
        </w:rPr>
      </w:pPr>
      <w:r>
        <w:rPr>
          <w:sz w:val="24"/>
          <w:szCs w:val="24"/>
        </w:rPr>
        <w:t>No naked flames.</w:t>
      </w:r>
    </w:p>
    <w:p w14:paraId="18D0F9B7" w14:textId="77777777" w:rsidR="00F3790F" w:rsidRDefault="00000000">
      <w:pPr>
        <w:pStyle w:val="Body"/>
        <w:ind w:left="720"/>
        <w:rPr>
          <w:sz w:val="24"/>
          <w:szCs w:val="24"/>
        </w:rPr>
      </w:pPr>
      <w:r>
        <w:rPr>
          <w:sz w:val="24"/>
          <w:szCs w:val="24"/>
        </w:rPr>
        <w:t>No smoke machines.</w:t>
      </w:r>
    </w:p>
    <w:p w14:paraId="24089B7A" w14:textId="358D2722" w:rsidR="00F3790F" w:rsidRDefault="00000000">
      <w:pPr>
        <w:pStyle w:val="Body"/>
        <w:ind w:left="720"/>
        <w:rPr>
          <w:sz w:val="24"/>
          <w:szCs w:val="24"/>
        </w:rPr>
      </w:pPr>
      <w:r>
        <w:rPr>
          <w:sz w:val="24"/>
          <w:szCs w:val="24"/>
        </w:rPr>
        <w:t xml:space="preserve">No bookings to be </w:t>
      </w:r>
      <w:r w:rsidR="00D64348">
        <w:rPr>
          <w:sz w:val="24"/>
          <w:szCs w:val="24"/>
        </w:rPr>
        <w:t>made</w:t>
      </w:r>
      <w:r>
        <w:rPr>
          <w:sz w:val="24"/>
          <w:szCs w:val="24"/>
        </w:rPr>
        <w:t xml:space="preserve"> by anyone below the age of 18.</w:t>
      </w:r>
    </w:p>
    <w:p w14:paraId="7941616C" w14:textId="77777777" w:rsidR="00F3790F" w:rsidRDefault="00000000">
      <w:pPr>
        <w:pStyle w:val="ListParagraph"/>
        <w:numPr>
          <w:ilvl w:val="0"/>
          <w:numId w:val="2"/>
        </w:numPr>
        <w:rPr>
          <w:sz w:val="24"/>
          <w:szCs w:val="24"/>
        </w:rPr>
      </w:pPr>
      <w:r>
        <w:rPr>
          <w:sz w:val="24"/>
          <w:szCs w:val="24"/>
        </w:rPr>
        <w:t>All bookings to be made with the Centre Manager either via email, phone, text, website, social media, or in person in the Centre office.</w:t>
      </w:r>
    </w:p>
    <w:p w14:paraId="5C435EB9" w14:textId="4D94B93F" w:rsidR="00F3790F" w:rsidRDefault="00000000">
      <w:pPr>
        <w:pStyle w:val="ListParagraph"/>
        <w:numPr>
          <w:ilvl w:val="0"/>
          <w:numId w:val="2"/>
        </w:numPr>
        <w:rPr>
          <w:sz w:val="24"/>
          <w:szCs w:val="24"/>
        </w:rPr>
      </w:pPr>
      <w:r>
        <w:rPr>
          <w:sz w:val="24"/>
          <w:szCs w:val="24"/>
        </w:rPr>
        <w:t xml:space="preserve">Regular users will be invoiced monthly and in arrears.  Other users to pay </w:t>
      </w:r>
      <w:r w:rsidR="003D5AB3">
        <w:rPr>
          <w:sz w:val="24"/>
          <w:szCs w:val="24"/>
        </w:rPr>
        <w:t xml:space="preserve">20% </w:t>
      </w:r>
      <w:r>
        <w:rPr>
          <w:sz w:val="24"/>
          <w:szCs w:val="24"/>
        </w:rPr>
        <w:t>at the time of booking</w:t>
      </w:r>
      <w:r w:rsidR="003D5AB3">
        <w:rPr>
          <w:sz w:val="24"/>
          <w:szCs w:val="24"/>
        </w:rPr>
        <w:t xml:space="preserve"> and the balance 2 weeks before the event</w:t>
      </w:r>
      <w:r>
        <w:rPr>
          <w:sz w:val="24"/>
          <w:szCs w:val="24"/>
        </w:rPr>
        <w:t>.</w:t>
      </w:r>
    </w:p>
    <w:p w14:paraId="1F95CE07" w14:textId="77777777" w:rsidR="00F3790F" w:rsidRDefault="00000000">
      <w:pPr>
        <w:pStyle w:val="ListParagraph"/>
        <w:numPr>
          <w:ilvl w:val="0"/>
          <w:numId w:val="2"/>
        </w:numPr>
        <w:rPr>
          <w:sz w:val="24"/>
          <w:szCs w:val="24"/>
        </w:rPr>
      </w:pPr>
      <w:r>
        <w:rPr>
          <w:sz w:val="24"/>
          <w:szCs w:val="24"/>
        </w:rPr>
        <w:t>Guidance on use of the building and its facilities are displayed around the building, and a printed copy provided to all users with their Hire Agreement.</w:t>
      </w:r>
    </w:p>
    <w:p w14:paraId="510DAED2" w14:textId="77777777" w:rsidR="00F3790F" w:rsidRDefault="00000000">
      <w:pPr>
        <w:pStyle w:val="ListParagraph"/>
        <w:numPr>
          <w:ilvl w:val="0"/>
          <w:numId w:val="2"/>
        </w:numPr>
        <w:rPr>
          <w:sz w:val="24"/>
          <w:szCs w:val="24"/>
        </w:rPr>
      </w:pPr>
      <w:r>
        <w:rPr>
          <w:sz w:val="24"/>
          <w:szCs w:val="24"/>
        </w:rPr>
        <w:t>A key is provided to each hirer, with verbal instructions on how to access and secure the building, and to return the key via the letterbox at the front door immediately after use.  All keys are numbered and accounted for.</w:t>
      </w:r>
    </w:p>
    <w:p w14:paraId="14F884AF" w14:textId="77777777" w:rsidR="00F3790F" w:rsidRDefault="00F3790F">
      <w:pPr>
        <w:pStyle w:val="Body"/>
        <w:rPr>
          <w:sz w:val="24"/>
          <w:szCs w:val="24"/>
        </w:rPr>
      </w:pPr>
    </w:p>
    <w:p w14:paraId="6D20E2C4" w14:textId="4F361C60" w:rsidR="00843DBA" w:rsidRPr="00EB28C8" w:rsidRDefault="00843DBA" w:rsidP="00EB28C8">
      <w:pPr>
        <w:pStyle w:val="Body"/>
        <w:rPr>
          <w:b/>
          <w:bCs/>
          <w:sz w:val="24"/>
          <w:szCs w:val="24"/>
        </w:rPr>
      </w:pPr>
      <w:r w:rsidRPr="00843DBA">
        <w:rPr>
          <w:b/>
          <w:bCs/>
          <w:sz w:val="24"/>
          <w:szCs w:val="24"/>
        </w:rPr>
        <w:t>This policy will be reviewed at least every four years</w:t>
      </w:r>
    </w:p>
    <w:p w14:paraId="7E876A86" w14:textId="3C882D14" w:rsidR="003D5AB3" w:rsidRDefault="003D5AB3" w:rsidP="00843DBA">
      <w:pPr>
        <w:pStyle w:val="Body"/>
        <w:ind w:firstLine="720"/>
        <w:rPr>
          <w:sz w:val="24"/>
          <w:szCs w:val="24"/>
        </w:rPr>
      </w:pPr>
      <w:r>
        <w:rPr>
          <w:sz w:val="24"/>
          <w:szCs w:val="24"/>
        </w:rPr>
        <w:t xml:space="preserve">Updated </w:t>
      </w:r>
      <w:r w:rsidR="00EB28C8">
        <w:rPr>
          <w:sz w:val="24"/>
          <w:szCs w:val="24"/>
        </w:rPr>
        <w:t>October</w:t>
      </w:r>
      <w:r>
        <w:rPr>
          <w:sz w:val="24"/>
          <w:szCs w:val="24"/>
        </w:rPr>
        <w:t xml:space="preserve"> 2025</w:t>
      </w:r>
    </w:p>
    <w:p w14:paraId="436F33ED" w14:textId="76228D1B" w:rsidR="003D5AB3" w:rsidRDefault="00843DBA">
      <w:pPr>
        <w:pStyle w:val="Body"/>
        <w:ind w:firstLine="720"/>
        <w:rPr>
          <w:sz w:val="24"/>
          <w:szCs w:val="24"/>
        </w:rPr>
      </w:pPr>
      <w:r>
        <w:rPr>
          <w:sz w:val="24"/>
          <w:szCs w:val="24"/>
        </w:rPr>
        <w:t>R</w:t>
      </w:r>
      <w:r w:rsidR="003D5AB3">
        <w:rPr>
          <w:sz w:val="24"/>
          <w:szCs w:val="24"/>
        </w:rPr>
        <w:t>eview</w:t>
      </w:r>
      <w:r>
        <w:rPr>
          <w:sz w:val="24"/>
          <w:szCs w:val="24"/>
        </w:rPr>
        <w:t xml:space="preserve">ed and approved </w:t>
      </w:r>
      <w:r w:rsidR="003D5AB3">
        <w:rPr>
          <w:sz w:val="24"/>
          <w:szCs w:val="24"/>
        </w:rPr>
        <w:t>May 202</w:t>
      </w:r>
      <w:r>
        <w:rPr>
          <w:sz w:val="24"/>
          <w:szCs w:val="24"/>
        </w:rPr>
        <w:t>5</w:t>
      </w:r>
    </w:p>
    <w:p w14:paraId="163F98FD" w14:textId="77777777" w:rsidR="007941C3" w:rsidRDefault="007941C3">
      <w:pPr>
        <w:pStyle w:val="Body"/>
        <w:ind w:firstLine="720"/>
        <w:rPr>
          <w:sz w:val="24"/>
          <w:szCs w:val="24"/>
        </w:rPr>
      </w:pPr>
    </w:p>
    <w:p w14:paraId="0E1D9C5E" w14:textId="69EB6CFC" w:rsidR="00F3790F" w:rsidRDefault="007941C3" w:rsidP="00EB28C8">
      <w:pPr>
        <w:pStyle w:val="Body"/>
        <w:ind w:firstLine="720"/>
        <w:rPr>
          <w:sz w:val="24"/>
          <w:szCs w:val="24"/>
        </w:rPr>
      </w:pPr>
      <w:r>
        <w:rPr>
          <w:sz w:val="24"/>
          <w:szCs w:val="24"/>
        </w:rPr>
        <w:t>Next review due May 2027</w:t>
      </w:r>
    </w:p>
    <w:p w14:paraId="4F069143" w14:textId="77777777" w:rsidR="006E3403" w:rsidRDefault="006E3403" w:rsidP="00EB28C8">
      <w:pPr>
        <w:pStyle w:val="Body"/>
        <w:ind w:firstLine="720"/>
        <w:rPr>
          <w:sz w:val="24"/>
          <w:szCs w:val="24"/>
        </w:rPr>
      </w:pPr>
    </w:p>
    <w:p w14:paraId="4A6A22FF" w14:textId="5945D495" w:rsidR="006E3403" w:rsidRPr="00504658" w:rsidRDefault="00504658" w:rsidP="00504658">
      <w:pPr>
        <w:pStyle w:val="Body"/>
        <w:ind w:firstLine="720"/>
        <w:jc w:val="center"/>
        <w:rPr>
          <w:b/>
          <w:bCs/>
          <w:sz w:val="28"/>
          <w:szCs w:val="28"/>
          <w:u w:val="single"/>
          <w:lang w:val="en-GB"/>
        </w:rPr>
      </w:pPr>
      <w:r w:rsidRPr="00504658">
        <w:rPr>
          <w:b/>
          <w:bCs/>
          <w:sz w:val="28"/>
          <w:szCs w:val="28"/>
          <w:u w:val="single"/>
          <w:lang w:val="en-GB"/>
        </w:rPr>
        <w:t>Supplement to Hiring Policy following a</w:t>
      </w:r>
      <w:r w:rsidR="006E3403" w:rsidRPr="00504658">
        <w:rPr>
          <w:b/>
          <w:bCs/>
          <w:sz w:val="28"/>
          <w:szCs w:val="28"/>
          <w:u w:val="single"/>
          <w:lang w:val="en-GB"/>
        </w:rPr>
        <w:t>dvice from SCA insurance agents Norris and Fisher in October 2025</w:t>
      </w:r>
    </w:p>
    <w:p w14:paraId="3988A454" w14:textId="77777777" w:rsidR="006E3403" w:rsidRDefault="006E3403" w:rsidP="006E3403">
      <w:pPr>
        <w:pStyle w:val="Body"/>
        <w:ind w:firstLine="720"/>
        <w:rPr>
          <w:lang w:val="en-GB"/>
        </w:rPr>
      </w:pPr>
    </w:p>
    <w:p w14:paraId="2326487F" w14:textId="326FA56C" w:rsidR="006E3403" w:rsidRPr="006E3403" w:rsidRDefault="006E3403" w:rsidP="006E3403">
      <w:pPr>
        <w:pStyle w:val="Body"/>
        <w:ind w:firstLine="720"/>
        <w:rPr>
          <w:lang w:val="en-GB"/>
        </w:rPr>
      </w:pPr>
      <w:r w:rsidRPr="006E3403">
        <w:rPr>
          <w:lang w:val="en-GB"/>
        </w:rPr>
        <w:t xml:space="preserve">If </w:t>
      </w:r>
      <w:r>
        <w:rPr>
          <w:lang w:val="en-GB"/>
        </w:rPr>
        <w:t>a</w:t>
      </w:r>
      <w:r w:rsidRPr="006E3403">
        <w:rPr>
          <w:lang w:val="en-GB"/>
        </w:rPr>
        <w:t xml:space="preserve"> bouncy castle, inflatable or trampoline is hired in, </w:t>
      </w:r>
      <w:r w:rsidRPr="006E3403">
        <w:rPr>
          <w:b/>
          <w:bCs/>
          <w:lang w:val="en-GB"/>
        </w:rPr>
        <w:t xml:space="preserve">and its use is to be controlled by </w:t>
      </w:r>
      <w:r>
        <w:rPr>
          <w:b/>
          <w:bCs/>
          <w:lang w:val="en-GB"/>
        </w:rPr>
        <w:t>us</w:t>
      </w:r>
      <w:r w:rsidRPr="006E3403">
        <w:rPr>
          <w:lang w:val="en-GB"/>
        </w:rPr>
        <w:t xml:space="preserve"> then the following will apply:</w:t>
      </w:r>
    </w:p>
    <w:p w14:paraId="0EB7EA82" w14:textId="77777777" w:rsidR="006E3403" w:rsidRPr="006E3403" w:rsidRDefault="006E3403" w:rsidP="006E3403">
      <w:pPr>
        <w:pStyle w:val="Body"/>
        <w:ind w:firstLine="720"/>
        <w:rPr>
          <w:lang w:val="en-GB"/>
        </w:rPr>
      </w:pPr>
      <w:bookmarkStart w:id="0" w:name="_Hlk213092069"/>
      <w:r w:rsidRPr="006E3403">
        <w:rPr>
          <w:lang w:val="en-GB"/>
        </w:rPr>
        <w:t> </w:t>
      </w:r>
    </w:p>
    <w:p w14:paraId="40AC43CF" w14:textId="77777777" w:rsidR="006E3403" w:rsidRPr="006E3403" w:rsidRDefault="006E3403" w:rsidP="006E3403">
      <w:pPr>
        <w:pStyle w:val="Body"/>
        <w:ind w:firstLine="720"/>
        <w:rPr>
          <w:lang w:val="en-GB"/>
        </w:rPr>
      </w:pPr>
      <w:r w:rsidRPr="006E3403">
        <w:rPr>
          <w:lang w:val="en-GB"/>
        </w:rPr>
        <w:t>•                     An adult representative is to act in a supervisory capacity at all times</w:t>
      </w:r>
    </w:p>
    <w:p w14:paraId="2BB23A16" w14:textId="77777777" w:rsidR="006E3403" w:rsidRPr="006E3403" w:rsidRDefault="006E3403" w:rsidP="006E3403">
      <w:pPr>
        <w:pStyle w:val="Body"/>
        <w:ind w:firstLine="720"/>
        <w:rPr>
          <w:lang w:val="en-GB"/>
        </w:rPr>
      </w:pPr>
      <w:r w:rsidRPr="006E3403">
        <w:rPr>
          <w:lang w:val="en-GB"/>
        </w:rPr>
        <w:t>•                     Only allow children of similar age and size on at any one time</w:t>
      </w:r>
    </w:p>
    <w:p w14:paraId="6F6B2852" w14:textId="77777777" w:rsidR="006E3403" w:rsidRPr="006E3403" w:rsidRDefault="006E3403" w:rsidP="006E3403">
      <w:pPr>
        <w:pStyle w:val="Body"/>
        <w:ind w:firstLine="720"/>
        <w:rPr>
          <w:lang w:val="en-GB"/>
        </w:rPr>
      </w:pPr>
      <w:r w:rsidRPr="006E3403">
        <w:rPr>
          <w:lang w:val="en-GB"/>
        </w:rPr>
        <w:t>•                     Avoid any over-crowding and ensure that the manufacturers recommendations for numbers are not exceeded</w:t>
      </w:r>
    </w:p>
    <w:p w14:paraId="7CF6B2D1" w14:textId="77777777" w:rsidR="006E3403" w:rsidRPr="006E3403" w:rsidRDefault="006E3403" w:rsidP="006E3403">
      <w:pPr>
        <w:pStyle w:val="Body"/>
        <w:ind w:firstLine="720"/>
        <w:rPr>
          <w:lang w:val="en-GB"/>
        </w:rPr>
      </w:pPr>
      <w:r w:rsidRPr="006E3403">
        <w:rPr>
          <w:lang w:val="en-GB"/>
        </w:rPr>
        <w:t>•                     Soft matting should be positioned to cover any hard surface at the open front and/or sides</w:t>
      </w:r>
    </w:p>
    <w:p w14:paraId="1F3704D2" w14:textId="77777777" w:rsidR="006E3403" w:rsidRPr="006E3403" w:rsidRDefault="006E3403" w:rsidP="006E3403">
      <w:pPr>
        <w:pStyle w:val="Body"/>
        <w:ind w:firstLine="720"/>
        <w:rPr>
          <w:lang w:val="en-GB"/>
        </w:rPr>
      </w:pPr>
      <w:r w:rsidRPr="006E3403">
        <w:rPr>
          <w:lang w:val="en-GB"/>
        </w:rPr>
        <w:t>•                     Make sure that users remove any potentially dangerous objects such as jewellery or shoes</w:t>
      </w:r>
    </w:p>
    <w:p w14:paraId="1CC0C0BC" w14:textId="609D6DBF" w:rsidR="006E3403" w:rsidRPr="006E3403" w:rsidRDefault="006E3403" w:rsidP="006E3403">
      <w:pPr>
        <w:pStyle w:val="Body"/>
        <w:ind w:firstLine="720"/>
        <w:rPr>
          <w:lang w:val="en-GB"/>
        </w:rPr>
      </w:pPr>
      <w:r w:rsidRPr="006E3403">
        <w:rPr>
          <w:lang w:val="en-GB"/>
        </w:rPr>
        <w:t>•                     Ensure that the bouncy castle or inflatable is moored securely to the ground at each anchor point</w:t>
      </w:r>
      <w:r>
        <w:rPr>
          <w:lang w:val="en-GB"/>
        </w:rPr>
        <w:t xml:space="preserve"> NOT APPLICABLE INDOORS</w:t>
      </w:r>
    </w:p>
    <w:p w14:paraId="29AEBAF9" w14:textId="6CB8BBA6" w:rsidR="006E3403" w:rsidRPr="006E3403" w:rsidRDefault="006E3403" w:rsidP="006E3403">
      <w:pPr>
        <w:pStyle w:val="Body"/>
        <w:ind w:firstLine="720"/>
        <w:rPr>
          <w:lang w:val="en-GB"/>
        </w:rPr>
      </w:pPr>
      <w:r w:rsidRPr="006E3403">
        <w:rPr>
          <w:lang w:val="en-GB"/>
        </w:rPr>
        <w:t>•                     Never use a bouncy castle or inflatable in high winds or wet weather</w:t>
      </w:r>
      <w:r>
        <w:rPr>
          <w:lang w:val="en-GB"/>
        </w:rPr>
        <w:t xml:space="preserve"> NOT APPLICABLE INDOORS</w:t>
      </w:r>
    </w:p>
    <w:p w14:paraId="2F47B1A8" w14:textId="77777777" w:rsidR="006E3403" w:rsidRPr="006E3403" w:rsidRDefault="006E3403" w:rsidP="006E3403">
      <w:pPr>
        <w:pStyle w:val="Body"/>
        <w:ind w:firstLine="720"/>
        <w:rPr>
          <w:lang w:val="en-GB"/>
        </w:rPr>
      </w:pPr>
      <w:r w:rsidRPr="006E3403">
        <w:rPr>
          <w:lang w:val="en-GB"/>
        </w:rPr>
        <w:t>•                     Ensure that a trampoline is fitted with safety side netting to prevent falls and that it is not used by more than one person at a time</w:t>
      </w:r>
    </w:p>
    <w:p w14:paraId="6C7753A5" w14:textId="77777777" w:rsidR="006E3403" w:rsidRPr="006E3403" w:rsidRDefault="006E3403" w:rsidP="006E3403">
      <w:pPr>
        <w:pStyle w:val="Body"/>
        <w:ind w:firstLine="720"/>
        <w:rPr>
          <w:lang w:val="en-GB"/>
        </w:rPr>
      </w:pPr>
      <w:r w:rsidRPr="006E3403">
        <w:rPr>
          <w:lang w:val="en-GB"/>
        </w:rPr>
        <w:t>•                     No food or drink shall be allowed on the equipment</w:t>
      </w:r>
    </w:p>
    <w:p w14:paraId="38D0C413" w14:textId="77777777" w:rsidR="006E3403" w:rsidRPr="006E3403" w:rsidRDefault="006E3403" w:rsidP="006E3403">
      <w:pPr>
        <w:pStyle w:val="Body"/>
        <w:ind w:firstLine="720"/>
        <w:rPr>
          <w:lang w:val="en-GB"/>
        </w:rPr>
      </w:pPr>
      <w:r w:rsidRPr="006E3403">
        <w:rPr>
          <w:lang w:val="en-GB"/>
        </w:rPr>
        <w:t>•                     No person over the age of sixteen (16) shall be permitted on the equipment unless such equipment bears the prefix “adult”. Where “adult” use is permitted, adults and people under the age of sixteen (16) are not permitted to participate on the same equipment at the same time</w:t>
      </w:r>
    </w:p>
    <w:bookmarkEnd w:id="0"/>
    <w:p w14:paraId="3BFECC5E" w14:textId="77777777" w:rsidR="006E3403" w:rsidRPr="006E3403" w:rsidRDefault="006E3403" w:rsidP="006E3403">
      <w:pPr>
        <w:pStyle w:val="Body"/>
        <w:ind w:firstLine="720"/>
        <w:rPr>
          <w:lang w:val="en-GB"/>
        </w:rPr>
      </w:pPr>
      <w:r w:rsidRPr="006E3403">
        <w:rPr>
          <w:lang w:val="en-GB"/>
        </w:rPr>
        <w:t> </w:t>
      </w:r>
    </w:p>
    <w:p w14:paraId="38F30638" w14:textId="3711BE58" w:rsidR="006E3403" w:rsidRDefault="006E3403" w:rsidP="006E3403">
      <w:pPr>
        <w:pStyle w:val="Body"/>
        <w:ind w:firstLine="720"/>
        <w:rPr>
          <w:lang w:val="en-GB"/>
        </w:rPr>
      </w:pPr>
      <w:r w:rsidRPr="006E3403">
        <w:rPr>
          <w:lang w:val="en-GB"/>
        </w:rPr>
        <w:t xml:space="preserve">However, </w:t>
      </w:r>
      <w:r w:rsidRPr="006E3403">
        <w:rPr>
          <w:b/>
          <w:bCs/>
          <w:lang w:val="en-GB"/>
        </w:rPr>
        <w:t>if the bouncy castle, inflatable or trampoline is hired with a supervisor</w:t>
      </w:r>
      <w:r w:rsidRPr="006E3403">
        <w:rPr>
          <w:lang w:val="en-GB"/>
        </w:rPr>
        <w:t>, the supplier must have their own Public Liability Insurance. (As the supervisor would be responsible for its operation)</w:t>
      </w:r>
      <w:r>
        <w:rPr>
          <w:lang w:val="en-GB"/>
        </w:rPr>
        <w:t xml:space="preserve">.  </w:t>
      </w:r>
    </w:p>
    <w:p w14:paraId="657F5429" w14:textId="1500BED9" w:rsidR="006E3403" w:rsidRPr="006E3403" w:rsidRDefault="006E3403" w:rsidP="006E3403">
      <w:pPr>
        <w:pStyle w:val="Body"/>
        <w:ind w:firstLine="720"/>
        <w:rPr>
          <w:b/>
          <w:bCs/>
          <w:lang w:val="en-GB"/>
        </w:rPr>
      </w:pPr>
      <w:r w:rsidRPr="006E3403">
        <w:rPr>
          <w:b/>
          <w:bCs/>
          <w:lang w:val="en-GB"/>
        </w:rPr>
        <w:t>Hirers who intend to bring a bouncy castle onto the premises, e.g. for a children’s party, are responsible for ensuring that the above conditions are met.</w:t>
      </w:r>
    </w:p>
    <w:p w14:paraId="6BA26CB1" w14:textId="77777777" w:rsidR="006E3403" w:rsidRPr="00EB28C8" w:rsidRDefault="006E3403" w:rsidP="00EB28C8">
      <w:pPr>
        <w:pStyle w:val="Body"/>
        <w:ind w:firstLine="720"/>
        <w:rPr>
          <w:sz w:val="24"/>
          <w:szCs w:val="24"/>
        </w:rPr>
      </w:pPr>
    </w:p>
    <w:sectPr w:rsidR="006E3403" w:rsidRPr="00EB28C8">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531E" w14:textId="77777777" w:rsidR="00146D09" w:rsidRDefault="00146D09">
      <w:r>
        <w:separator/>
      </w:r>
    </w:p>
  </w:endnote>
  <w:endnote w:type="continuationSeparator" w:id="0">
    <w:p w14:paraId="6C5F7A06" w14:textId="77777777" w:rsidR="00146D09" w:rsidRDefault="0014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3239" w14:textId="77777777" w:rsidR="00F3790F" w:rsidRDefault="00F3790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2DC27" w14:textId="77777777" w:rsidR="00146D09" w:rsidRDefault="00146D09">
      <w:r>
        <w:separator/>
      </w:r>
    </w:p>
  </w:footnote>
  <w:footnote w:type="continuationSeparator" w:id="0">
    <w:p w14:paraId="06CBE4D9" w14:textId="77777777" w:rsidR="00146D09" w:rsidRDefault="00146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61A0" w14:textId="77777777" w:rsidR="00F3790F" w:rsidRDefault="00F3790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9487A"/>
    <w:multiLevelType w:val="hybridMultilevel"/>
    <w:tmpl w:val="643CE17C"/>
    <w:styleLink w:val="ImportedStyle1"/>
    <w:lvl w:ilvl="0" w:tplc="0A9097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2CB88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D8B6D8">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2278BE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4036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3887B4">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64E2A1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E4E5F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D279EC">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F925BE5"/>
    <w:multiLevelType w:val="hybridMultilevel"/>
    <w:tmpl w:val="643CE17C"/>
    <w:numStyleLink w:val="ImportedStyle1"/>
  </w:abstractNum>
  <w:num w:numId="1" w16cid:durableId="240915733">
    <w:abstractNumId w:val="0"/>
  </w:num>
  <w:num w:numId="2" w16cid:durableId="1739860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90F"/>
    <w:rsid w:val="00145D4B"/>
    <w:rsid w:val="00146D09"/>
    <w:rsid w:val="00205DEE"/>
    <w:rsid w:val="0035034B"/>
    <w:rsid w:val="003D5AB3"/>
    <w:rsid w:val="00504658"/>
    <w:rsid w:val="00606FEE"/>
    <w:rsid w:val="006E3403"/>
    <w:rsid w:val="007538C5"/>
    <w:rsid w:val="007941C3"/>
    <w:rsid w:val="007E23F7"/>
    <w:rsid w:val="00843DBA"/>
    <w:rsid w:val="0084781B"/>
    <w:rsid w:val="008E1D33"/>
    <w:rsid w:val="00991EB0"/>
    <w:rsid w:val="00A12A41"/>
    <w:rsid w:val="00A740E7"/>
    <w:rsid w:val="00AC635C"/>
    <w:rsid w:val="00AE775D"/>
    <w:rsid w:val="00C11892"/>
    <w:rsid w:val="00C94CA6"/>
    <w:rsid w:val="00D36785"/>
    <w:rsid w:val="00D64348"/>
    <w:rsid w:val="00DA3738"/>
    <w:rsid w:val="00DF32CB"/>
    <w:rsid w:val="00E04897"/>
    <w:rsid w:val="00EB28C8"/>
    <w:rsid w:val="00F3790F"/>
    <w:rsid w:val="00F90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CF53"/>
  <w15:docId w15:val="{FDF41901-8313-42D1-B4FF-2CB0F8C8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3080</Characters>
  <Application>Microsoft Office Word</Application>
  <DocSecurity>0</DocSecurity>
  <Lines>68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Barbara Braysher</cp:lastModifiedBy>
  <cp:revision>6</cp:revision>
  <dcterms:created xsi:type="dcterms:W3CDTF">2025-10-28T08:11:00Z</dcterms:created>
  <dcterms:modified xsi:type="dcterms:W3CDTF">2025-11-03T19:59:00Z</dcterms:modified>
</cp:coreProperties>
</file>