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0237F" w14:textId="77777777" w:rsidR="007306E4" w:rsidRPr="00A64548" w:rsidRDefault="00000000" w:rsidP="00A64548">
      <w:pPr>
        <w:pStyle w:val="Body"/>
        <w:jc w:val="center"/>
        <w:rPr>
          <w:rFonts w:ascii="Arial" w:eastAsia="Arial" w:hAnsi="Arial" w:cs="Arial"/>
          <w:b/>
          <w:bCs/>
          <w:u w:val="single"/>
        </w:rPr>
      </w:pPr>
      <w:r w:rsidRPr="00A64548">
        <w:rPr>
          <w:rFonts w:ascii="Arial" w:hAnsi="Arial"/>
          <w:b/>
          <w:bCs/>
          <w:u w:val="single"/>
        </w:rPr>
        <w:t>Environmental policy</w:t>
      </w:r>
    </w:p>
    <w:p w14:paraId="680E784E" w14:textId="77777777" w:rsidR="007306E4" w:rsidRDefault="007306E4">
      <w:pPr>
        <w:pStyle w:val="Body"/>
        <w:rPr>
          <w:rFonts w:ascii="Arial" w:eastAsia="Arial" w:hAnsi="Arial" w:cs="Arial"/>
          <w:b/>
          <w:bCs/>
        </w:rPr>
      </w:pPr>
    </w:p>
    <w:p w14:paraId="04D4E2D6" w14:textId="5D29759A" w:rsidR="007306E4" w:rsidRDefault="00000000">
      <w:pPr>
        <w:pStyle w:val="Body"/>
        <w:rPr>
          <w:rFonts w:ascii="Arial" w:eastAsia="Arial" w:hAnsi="Arial" w:cs="Arial"/>
          <w:b/>
          <w:bCs/>
        </w:rPr>
      </w:pPr>
      <w:proofErr w:type="spellStart"/>
      <w:r>
        <w:rPr>
          <w:rFonts w:ascii="Arial" w:hAnsi="Arial"/>
          <w:b/>
          <w:bCs/>
        </w:rPr>
        <w:t>Stocksfield</w:t>
      </w:r>
      <w:proofErr w:type="spellEnd"/>
      <w:r>
        <w:rPr>
          <w:rFonts w:ascii="Arial" w:hAnsi="Arial"/>
          <w:b/>
          <w:bCs/>
        </w:rPr>
        <w:t xml:space="preserve"> Community Association is committed to protecting and actively promoting the improvement of the local environment.</w:t>
      </w:r>
    </w:p>
    <w:p w14:paraId="760EF013" w14:textId="77777777" w:rsidR="007306E4" w:rsidRDefault="00000000">
      <w:pPr>
        <w:pStyle w:val="Body"/>
        <w:rPr>
          <w:rFonts w:ascii="Arial" w:eastAsia="Arial" w:hAnsi="Arial" w:cs="Arial"/>
          <w:b/>
          <w:bCs/>
        </w:rPr>
      </w:pPr>
      <w:proofErr w:type="spellStart"/>
      <w:r>
        <w:rPr>
          <w:rFonts w:ascii="Arial" w:hAnsi="Arial"/>
          <w:b/>
          <w:bCs/>
        </w:rPr>
        <w:t>Stocksfield</w:t>
      </w:r>
      <w:proofErr w:type="spellEnd"/>
      <w:r>
        <w:rPr>
          <w:rFonts w:ascii="Arial" w:hAnsi="Arial"/>
          <w:b/>
          <w:bCs/>
        </w:rPr>
        <w:t xml:space="preserve"> Community Association will ensure that environmental priorities are integrated in our decisions and services and we will seek to:</w:t>
      </w:r>
    </w:p>
    <w:p w14:paraId="361CFBEB" w14:textId="77777777" w:rsidR="007306E4" w:rsidRDefault="007306E4">
      <w:pPr>
        <w:pStyle w:val="Body"/>
        <w:rPr>
          <w:rFonts w:ascii="Arial" w:eastAsia="Arial" w:hAnsi="Arial" w:cs="Arial"/>
        </w:rPr>
      </w:pPr>
    </w:p>
    <w:p w14:paraId="10F93952" w14:textId="77777777" w:rsidR="007306E4" w:rsidRPr="00A64548" w:rsidRDefault="00000000">
      <w:pPr>
        <w:pStyle w:val="Body"/>
        <w:widowControl/>
        <w:numPr>
          <w:ilvl w:val="0"/>
          <w:numId w:val="2"/>
        </w:numPr>
        <w:jc w:val="both"/>
        <w:rPr>
          <w:rFonts w:ascii="Arial" w:eastAsia="Arial" w:hAnsi="Arial" w:cs="Arial"/>
          <w:sz w:val="22"/>
          <w:szCs w:val="22"/>
        </w:rPr>
      </w:pPr>
      <w:r w:rsidRPr="00A64548">
        <w:rPr>
          <w:rFonts w:ascii="Arial" w:hAnsi="Arial"/>
          <w:sz w:val="22"/>
          <w:szCs w:val="22"/>
        </w:rPr>
        <w:t xml:space="preserve">Make the most efficient use of energy. We will </w:t>
      </w:r>
      <w:proofErr w:type="spellStart"/>
      <w:r w:rsidRPr="00A64548">
        <w:rPr>
          <w:rFonts w:ascii="Arial" w:hAnsi="Arial"/>
          <w:sz w:val="22"/>
          <w:szCs w:val="22"/>
        </w:rPr>
        <w:t>endeavour</w:t>
      </w:r>
      <w:proofErr w:type="spellEnd"/>
      <w:r w:rsidRPr="00A64548">
        <w:rPr>
          <w:rFonts w:ascii="Arial" w:hAnsi="Arial"/>
          <w:sz w:val="22"/>
          <w:szCs w:val="22"/>
        </w:rPr>
        <w:t xml:space="preserve"> to use the minimum quantities of energy possible in accordance with the safe and efficient operation of our heating, lighting, and equipment usage. We will from time to time review our energy sources, energy usage (equipment) and energy efficiency with a view to causing the least environmental impact. We will monitor energy consumption and eliminate excessive or unnecessary use. Hirers and users of the building will be informed about reducing energy usage, e.g. turning lights off and closing doors.</w:t>
      </w:r>
    </w:p>
    <w:p w14:paraId="4418B530" w14:textId="77777777" w:rsidR="007306E4" w:rsidRPr="00A64548" w:rsidRDefault="007306E4">
      <w:pPr>
        <w:pStyle w:val="Body"/>
        <w:rPr>
          <w:rFonts w:ascii="Arial" w:eastAsia="Arial" w:hAnsi="Arial" w:cs="Arial"/>
          <w:sz w:val="22"/>
          <w:szCs w:val="22"/>
        </w:rPr>
      </w:pPr>
    </w:p>
    <w:p w14:paraId="02EBC756" w14:textId="77777777" w:rsidR="007306E4" w:rsidRPr="00A64548" w:rsidRDefault="00000000">
      <w:pPr>
        <w:pStyle w:val="Body"/>
        <w:widowControl/>
        <w:numPr>
          <w:ilvl w:val="0"/>
          <w:numId w:val="2"/>
        </w:numPr>
        <w:jc w:val="both"/>
        <w:rPr>
          <w:rFonts w:ascii="Arial" w:eastAsia="Arial" w:hAnsi="Arial" w:cs="Arial"/>
          <w:sz w:val="22"/>
          <w:szCs w:val="22"/>
        </w:rPr>
      </w:pPr>
      <w:r w:rsidRPr="00A64548">
        <w:rPr>
          <w:rFonts w:ascii="Arial" w:hAnsi="Arial"/>
          <w:sz w:val="22"/>
          <w:szCs w:val="22"/>
        </w:rPr>
        <w:t>Encourage those using the building to walk, cycle and use public or communal transport as alternatives to the private car. We will seek to provide safe cycle storage and information about public transport on publicity materials.</w:t>
      </w:r>
    </w:p>
    <w:p w14:paraId="2A4ADA01" w14:textId="77777777" w:rsidR="007306E4" w:rsidRPr="00A64548" w:rsidRDefault="007306E4">
      <w:pPr>
        <w:pStyle w:val="Body"/>
        <w:rPr>
          <w:rFonts w:ascii="Arial" w:eastAsia="Arial" w:hAnsi="Arial" w:cs="Arial"/>
          <w:sz w:val="22"/>
          <w:szCs w:val="22"/>
        </w:rPr>
      </w:pPr>
    </w:p>
    <w:p w14:paraId="149A0ED7" w14:textId="77777777" w:rsidR="007306E4" w:rsidRPr="00A64548" w:rsidRDefault="00000000">
      <w:pPr>
        <w:pStyle w:val="Body"/>
        <w:widowControl/>
        <w:numPr>
          <w:ilvl w:val="0"/>
          <w:numId w:val="2"/>
        </w:numPr>
        <w:jc w:val="both"/>
        <w:rPr>
          <w:rFonts w:ascii="Arial" w:eastAsia="Arial" w:hAnsi="Arial" w:cs="Arial"/>
          <w:sz w:val="22"/>
          <w:szCs w:val="22"/>
        </w:rPr>
      </w:pPr>
      <w:proofErr w:type="spellStart"/>
      <w:r w:rsidRPr="00A64548">
        <w:rPr>
          <w:rFonts w:ascii="Arial" w:hAnsi="Arial"/>
          <w:sz w:val="22"/>
          <w:szCs w:val="22"/>
        </w:rPr>
        <w:t>Minimise</w:t>
      </w:r>
      <w:proofErr w:type="spellEnd"/>
      <w:r w:rsidRPr="00A64548">
        <w:rPr>
          <w:rFonts w:ascii="Arial" w:hAnsi="Arial"/>
          <w:sz w:val="22"/>
          <w:szCs w:val="22"/>
        </w:rPr>
        <w:t xml:space="preserve"> and where possible eliminate all forms of pollution, using biodegradable chemicals where possible, and </w:t>
      </w:r>
      <w:proofErr w:type="spellStart"/>
      <w:r w:rsidRPr="00A64548">
        <w:rPr>
          <w:rFonts w:ascii="Arial" w:hAnsi="Arial"/>
          <w:sz w:val="22"/>
          <w:szCs w:val="22"/>
        </w:rPr>
        <w:t>minimising</w:t>
      </w:r>
      <w:proofErr w:type="spellEnd"/>
      <w:r w:rsidRPr="00A64548">
        <w:rPr>
          <w:rFonts w:ascii="Arial" w:hAnsi="Arial"/>
          <w:sz w:val="22"/>
          <w:szCs w:val="22"/>
        </w:rPr>
        <w:t xml:space="preserve"> use of solvents and lead-based paints. Users will be encouraged to avoid creating noise pollution, especially at night. </w:t>
      </w:r>
    </w:p>
    <w:p w14:paraId="75381A9B" w14:textId="77777777" w:rsidR="007306E4" w:rsidRPr="00A64548" w:rsidRDefault="007306E4">
      <w:pPr>
        <w:pStyle w:val="Body"/>
        <w:rPr>
          <w:rFonts w:ascii="Arial" w:eastAsia="Arial" w:hAnsi="Arial" w:cs="Arial"/>
          <w:sz w:val="22"/>
          <w:szCs w:val="22"/>
        </w:rPr>
      </w:pPr>
    </w:p>
    <w:p w14:paraId="0461979C" w14:textId="77777777" w:rsidR="007306E4" w:rsidRPr="00A64548" w:rsidRDefault="00000000">
      <w:pPr>
        <w:pStyle w:val="Body"/>
        <w:widowControl/>
        <w:numPr>
          <w:ilvl w:val="0"/>
          <w:numId w:val="2"/>
        </w:numPr>
        <w:jc w:val="both"/>
        <w:rPr>
          <w:rFonts w:ascii="Arial" w:eastAsia="Arial" w:hAnsi="Arial" w:cs="Arial"/>
          <w:sz w:val="22"/>
          <w:szCs w:val="22"/>
        </w:rPr>
      </w:pPr>
      <w:r w:rsidRPr="00A64548">
        <w:rPr>
          <w:rFonts w:ascii="Arial" w:hAnsi="Arial"/>
          <w:sz w:val="22"/>
          <w:szCs w:val="22"/>
        </w:rPr>
        <w:t>Use the minimum quantities of water possible in accordance with its activities. We will reduce leakage and eliminate excessive or unnecessary use, e.g. through avoiding unnecessary flushing of urinals when the building is not in use. We will inform hirers and users about the need to conserve water e.g. turning taps off after use.</w:t>
      </w:r>
    </w:p>
    <w:p w14:paraId="2F01F358" w14:textId="77777777" w:rsidR="007306E4" w:rsidRPr="00A64548" w:rsidRDefault="007306E4">
      <w:pPr>
        <w:pStyle w:val="Body"/>
        <w:rPr>
          <w:rFonts w:ascii="Arial" w:eastAsia="Arial" w:hAnsi="Arial" w:cs="Arial"/>
          <w:sz w:val="22"/>
          <w:szCs w:val="22"/>
        </w:rPr>
      </w:pPr>
    </w:p>
    <w:p w14:paraId="78E14F3B" w14:textId="77777777" w:rsidR="007306E4" w:rsidRPr="00A64548" w:rsidRDefault="00000000">
      <w:pPr>
        <w:pStyle w:val="Body"/>
        <w:widowControl/>
        <w:numPr>
          <w:ilvl w:val="0"/>
          <w:numId w:val="2"/>
        </w:numPr>
        <w:jc w:val="both"/>
        <w:rPr>
          <w:rFonts w:ascii="Arial" w:eastAsia="Arial" w:hAnsi="Arial" w:cs="Arial"/>
          <w:sz w:val="22"/>
          <w:szCs w:val="22"/>
        </w:rPr>
      </w:pPr>
      <w:r w:rsidRPr="00A64548">
        <w:rPr>
          <w:rFonts w:ascii="Arial" w:hAnsi="Arial"/>
          <w:sz w:val="22"/>
          <w:szCs w:val="22"/>
        </w:rPr>
        <w:t xml:space="preserve">Avoid waste and encourage the appropriate conservation, re-use and recycling of resources. We will re-use and recycle materials as far as possible and, if this is impractical, disposal by a means which will have the least impact on the environment and conforms to statutory requirements. We will encourage hirers and users to </w:t>
      </w:r>
      <w:proofErr w:type="spellStart"/>
      <w:r w:rsidRPr="00A64548">
        <w:rPr>
          <w:rFonts w:ascii="Arial" w:hAnsi="Arial"/>
          <w:sz w:val="22"/>
          <w:szCs w:val="22"/>
        </w:rPr>
        <w:t>minimise</w:t>
      </w:r>
      <w:proofErr w:type="spellEnd"/>
      <w:r w:rsidRPr="00A64548">
        <w:rPr>
          <w:rFonts w:ascii="Arial" w:hAnsi="Arial"/>
          <w:sz w:val="22"/>
          <w:szCs w:val="22"/>
        </w:rPr>
        <w:t xml:space="preserve"> waste, including the provision of separate disposal facilities according to the guidance of Northumberland County Council.</w:t>
      </w:r>
    </w:p>
    <w:p w14:paraId="76A98995" w14:textId="77777777" w:rsidR="007306E4" w:rsidRPr="00A64548" w:rsidRDefault="007306E4">
      <w:pPr>
        <w:pStyle w:val="Body"/>
        <w:rPr>
          <w:rFonts w:ascii="Arial" w:eastAsia="Arial" w:hAnsi="Arial" w:cs="Arial"/>
          <w:sz w:val="22"/>
          <w:szCs w:val="22"/>
        </w:rPr>
      </w:pPr>
    </w:p>
    <w:p w14:paraId="611022C5" w14:textId="77777777" w:rsidR="007306E4" w:rsidRPr="00A64548" w:rsidRDefault="00000000">
      <w:pPr>
        <w:pStyle w:val="Body"/>
        <w:widowControl/>
        <w:numPr>
          <w:ilvl w:val="0"/>
          <w:numId w:val="2"/>
        </w:numPr>
        <w:jc w:val="both"/>
        <w:rPr>
          <w:rFonts w:ascii="Arial" w:eastAsia="Arial" w:hAnsi="Arial" w:cs="Arial"/>
          <w:sz w:val="22"/>
          <w:szCs w:val="22"/>
        </w:rPr>
      </w:pPr>
      <w:r w:rsidRPr="00A64548">
        <w:rPr>
          <w:rFonts w:ascii="Arial" w:hAnsi="Arial"/>
          <w:sz w:val="22"/>
          <w:szCs w:val="22"/>
        </w:rPr>
        <w:t xml:space="preserve">It will ensure that the potential environmental impact of any building projects will be assessed and </w:t>
      </w:r>
      <w:proofErr w:type="spellStart"/>
      <w:r w:rsidRPr="00A64548">
        <w:rPr>
          <w:rFonts w:ascii="Arial" w:hAnsi="Arial"/>
          <w:sz w:val="22"/>
          <w:szCs w:val="22"/>
        </w:rPr>
        <w:t>minimised</w:t>
      </w:r>
      <w:proofErr w:type="spellEnd"/>
      <w:r w:rsidRPr="00A64548">
        <w:rPr>
          <w:rFonts w:ascii="Arial" w:hAnsi="Arial"/>
          <w:sz w:val="22"/>
          <w:szCs w:val="22"/>
        </w:rPr>
        <w:t>.</w:t>
      </w:r>
    </w:p>
    <w:p w14:paraId="4312D355" w14:textId="77777777" w:rsidR="007306E4" w:rsidRPr="00A64548" w:rsidRDefault="007306E4">
      <w:pPr>
        <w:pStyle w:val="Body"/>
        <w:rPr>
          <w:rFonts w:ascii="Arial" w:eastAsia="Arial" w:hAnsi="Arial" w:cs="Arial"/>
          <w:sz w:val="22"/>
          <w:szCs w:val="22"/>
        </w:rPr>
      </w:pPr>
    </w:p>
    <w:p w14:paraId="44422FB5" w14:textId="77777777" w:rsidR="007306E4" w:rsidRPr="00A64548" w:rsidRDefault="00000000">
      <w:pPr>
        <w:pStyle w:val="Body"/>
        <w:widowControl/>
        <w:numPr>
          <w:ilvl w:val="0"/>
          <w:numId w:val="2"/>
        </w:numPr>
        <w:jc w:val="both"/>
        <w:rPr>
          <w:rFonts w:ascii="Arial" w:eastAsia="Arial" w:hAnsi="Arial" w:cs="Arial"/>
          <w:sz w:val="22"/>
          <w:szCs w:val="22"/>
        </w:rPr>
      </w:pPr>
      <w:r w:rsidRPr="00A64548">
        <w:rPr>
          <w:rFonts w:ascii="Arial" w:hAnsi="Arial"/>
          <w:sz w:val="22"/>
          <w:szCs w:val="22"/>
        </w:rPr>
        <w:t>Promote a sense of responsibility and understanding for the environment and participation in environmental issues, by raising awareness, by information provision and open consultation with the local community.</w:t>
      </w:r>
    </w:p>
    <w:p w14:paraId="3A2D05B3" w14:textId="77777777" w:rsidR="007306E4" w:rsidRPr="00A64548" w:rsidRDefault="007306E4">
      <w:pPr>
        <w:pStyle w:val="Body"/>
        <w:rPr>
          <w:rFonts w:ascii="Arial" w:eastAsia="Arial" w:hAnsi="Arial" w:cs="Arial"/>
          <w:sz w:val="22"/>
          <w:szCs w:val="22"/>
        </w:rPr>
      </w:pPr>
    </w:p>
    <w:p w14:paraId="6C4080C9" w14:textId="77777777" w:rsidR="007306E4" w:rsidRPr="00A64548" w:rsidRDefault="00000000">
      <w:pPr>
        <w:pStyle w:val="Body"/>
        <w:widowControl/>
        <w:numPr>
          <w:ilvl w:val="0"/>
          <w:numId w:val="2"/>
        </w:numPr>
        <w:jc w:val="both"/>
        <w:rPr>
          <w:rFonts w:ascii="Arial" w:eastAsia="Arial" w:hAnsi="Arial" w:cs="Arial"/>
          <w:sz w:val="22"/>
          <w:szCs w:val="22"/>
        </w:rPr>
      </w:pPr>
      <w:r w:rsidRPr="00A64548">
        <w:rPr>
          <w:rFonts w:ascii="Arial" w:hAnsi="Arial"/>
          <w:sz w:val="22"/>
          <w:szCs w:val="22"/>
        </w:rPr>
        <w:t xml:space="preserve">Seek, where possible, to purchase from local or regional suppliers, in order to </w:t>
      </w:r>
      <w:proofErr w:type="spellStart"/>
      <w:r w:rsidRPr="00A64548">
        <w:rPr>
          <w:rFonts w:ascii="Arial" w:hAnsi="Arial"/>
          <w:sz w:val="22"/>
          <w:szCs w:val="22"/>
        </w:rPr>
        <w:t>maximise</w:t>
      </w:r>
      <w:proofErr w:type="spellEnd"/>
      <w:r w:rsidRPr="00A64548">
        <w:rPr>
          <w:rFonts w:ascii="Arial" w:hAnsi="Arial"/>
          <w:sz w:val="22"/>
          <w:szCs w:val="22"/>
        </w:rPr>
        <w:t xml:space="preserve"> input to the local community and </w:t>
      </w:r>
      <w:proofErr w:type="spellStart"/>
      <w:r w:rsidRPr="00A64548">
        <w:rPr>
          <w:rFonts w:ascii="Arial" w:hAnsi="Arial"/>
          <w:sz w:val="22"/>
          <w:szCs w:val="22"/>
        </w:rPr>
        <w:t>minimise</w:t>
      </w:r>
      <w:proofErr w:type="spellEnd"/>
      <w:r w:rsidRPr="00A64548">
        <w:rPr>
          <w:rFonts w:ascii="Arial" w:hAnsi="Arial"/>
          <w:sz w:val="22"/>
          <w:szCs w:val="22"/>
        </w:rPr>
        <w:t xml:space="preserve"> carbon emissions from transport.</w:t>
      </w:r>
    </w:p>
    <w:p w14:paraId="01999A48" w14:textId="77777777" w:rsidR="007306E4" w:rsidRPr="00A64548" w:rsidRDefault="007306E4">
      <w:pPr>
        <w:pStyle w:val="Body"/>
        <w:rPr>
          <w:rFonts w:ascii="Arial" w:eastAsia="Arial" w:hAnsi="Arial" w:cs="Arial"/>
          <w:sz w:val="22"/>
          <w:szCs w:val="22"/>
        </w:rPr>
      </w:pPr>
    </w:p>
    <w:p w14:paraId="7CC067FC" w14:textId="77777777" w:rsidR="007306E4" w:rsidRPr="00A64548" w:rsidRDefault="00000000">
      <w:pPr>
        <w:pStyle w:val="Body"/>
        <w:widowControl/>
        <w:numPr>
          <w:ilvl w:val="0"/>
          <w:numId w:val="2"/>
        </w:numPr>
        <w:jc w:val="both"/>
        <w:rPr>
          <w:rFonts w:ascii="Arial" w:eastAsia="Arial" w:hAnsi="Arial" w:cs="Arial"/>
          <w:sz w:val="22"/>
          <w:szCs w:val="22"/>
        </w:rPr>
      </w:pPr>
      <w:r w:rsidRPr="00A64548">
        <w:rPr>
          <w:rFonts w:ascii="Arial" w:hAnsi="Arial"/>
          <w:sz w:val="22"/>
          <w:szCs w:val="22"/>
        </w:rPr>
        <w:t>Protect the health and well-being of all users and improve and safeguard the quality of the building.</w:t>
      </w:r>
    </w:p>
    <w:p w14:paraId="7C6238B6" w14:textId="77777777" w:rsidR="007306E4" w:rsidRPr="00A64548" w:rsidRDefault="007306E4">
      <w:pPr>
        <w:pStyle w:val="Body"/>
        <w:widowControl/>
        <w:jc w:val="both"/>
        <w:rPr>
          <w:rFonts w:ascii="Arial" w:eastAsia="Arial" w:hAnsi="Arial" w:cs="Arial"/>
          <w:sz w:val="22"/>
          <w:szCs w:val="22"/>
        </w:rPr>
      </w:pPr>
    </w:p>
    <w:p w14:paraId="5F26A7C2" w14:textId="02E2F5AC" w:rsidR="007306E4" w:rsidRPr="00A64548" w:rsidRDefault="00A64548">
      <w:pPr>
        <w:pStyle w:val="Body"/>
        <w:widowControl/>
        <w:numPr>
          <w:ilvl w:val="0"/>
          <w:numId w:val="3"/>
        </w:numPr>
        <w:jc w:val="both"/>
        <w:rPr>
          <w:rFonts w:ascii="Arial" w:eastAsia="Arial" w:hAnsi="Arial" w:cs="Arial"/>
          <w:sz w:val="22"/>
          <w:szCs w:val="22"/>
        </w:rPr>
      </w:pPr>
      <w:r w:rsidRPr="00A64548">
        <w:rPr>
          <w:rFonts w:ascii="Arial" w:hAnsi="Arial"/>
          <w:sz w:val="22"/>
          <w:szCs w:val="22"/>
        </w:rPr>
        <w:t xml:space="preserve"> To monitor and improve performance where possible on any areas of non-compliance. </w:t>
      </w:r>
    </w:p>
    <w:p w14:paraId="68FEB13D" w14:textId="77777777" w:rsidR="007306E4" w:rsidRDefault="007306E4">
      <w:pPr>
        <w:pStyle w:val="Body"/>
        <w:rPr>
          <w:rFonts w:ascii="Arial" w:eastAsia="Arial" w:hAnsi="Arial" w:cs="Arial"/>
        </w:rPr>
      </w:pPr>
    </w:p>
    <w:p w14:paraId="1524DB3A" w14:textId="77777777" w:rsidR="00A64548" w:rsidRDefault="00A64548">
      <w:pPr>
        <w:pStyle w:val="Body"/>
        <w:rPr>
          <w:rFonts w:ascii="Arial" w:hAnsi="Arial"/>
        </w:rPr>
      </w:pPr>
    </w:p>
    <w:p w14:paraId="52C2DA84" w14:textId="569D6B6E" w:rsidR="00A64548" w:rsidRPr="00800024" w:rsidRDefault="00800024">
      <w:pPr>
        <w:pStyle w:val="Body"/>
        <w:rPr>
          <w:rFonts w:ascii="Arial" w:hAnsi="Arial"/>
          <w:b/>
          <w:bCs/>
        </w:rPr>
      </w:pPr>
      <w:r w:rsidRPr="00800024">
        <w:rPr>
          <w:rFonts w:ascii="Arial" w:hAnsi="Arial"/>
          <w:b/>
          <w:bCs/>
        </w:rPr>
        <w:t>This policy will be reviewed at least every four years</w:t>
      </w:r>
    </w:p>
    <w:p w14:paraId="48A47263" w14:textId="77777777" w:rsidR="00A64548" w:rsidRDefault="00A64548">
      <w:pPr>
        <w:pStyle w:val="Body"/>
        <w:rPr>
          <w:rFonts w:ascii="Arial" w:hAnsi="Arial"/>
        </w:rPr>
      </w:pPr>
    </w:p>
    <w:p w14:paraId="0D2020AB" w14:textId="77777777" w:rsidR="00A64548" w:rsidRDefault="00A64548">
      <w:pPr>
        <w:pStyle w:val="Body"/>
        <w:rPr>
          <w:rFonts w:ascii="Arial" w:hAnsi="Arial"/>
        </w:rPr>
      </w:pPr>
    </w:p>
    <w:p w14:paraId="0DE2635B" w14:textId="41935564" w:rsidR="007306E4" w:rsidRDefault="00A64548">
      <w:pPr>
        <w:pStyle w:val="Body"/>
        <w:rPr>
          <w:rFonts w:ascii="Arial" w:eastAsia="Arial" w:hAnsi="Arial" w:cs="Arial"/>
        </w:rPr>
      </w:pPr>
      <w:r>
        <w:rPr>
          <w:rFonts w:ascii="Arial" w:hAnsi="Arial"/>
        </w:rPr>
        <w:t xml:space="preserve">Reviewed and approved: </w:t>
      </w:r>
      <w:r w:rsidR="00800024">
        <w:rPr>
          <w:rFonts w:ascii="Arial" w:hAnsi="Arial"/>
        </w:rPr>
        <w:t>May 2025</w:t>
      </w:r>
    </w:p>
    <w:p w14:paraId="410A46A4" w14:textId="77777777" w:rsidR="007306E4" w:rsidRDefault="007306E4">
      <w:pPr>
        <w:pStyle w:val="Body"/>
        <w:rPr>
          <w:rFonts w:ascii="Arial" w:eastAsia="Arial" w:hAnsi="Arial" w:cs="Arial"/>
        </w:rPr>
      </w:pPr>
    </w:p>
    <w:p w14:paraId="4244DE57" w14:textId="0D087330" w:rsidR="007306E4" w:rsidRDefault="00000000">
      <w:pPr>
        <w:pStyle w:val="Body"/>
      </w:pPr>
      <w:r>
        <w:rPr>
          <w:rFonts w:ascii="Arial" w:hAnsi="Arial"/>
        </w:rPr>
        <w:t>Next review due May 202</w:t>
      </w:r>
      <w:r w:rsidR="00800024">
        <w:rPr>
          <w:rFonts w:ascii="Arial" w:hAnsi="Arial"/>
        </w:rPr>
        <w:t>9</w:t>
      </w:r>
    </w:p>
    <w:sectPr w:rsidR="007306E4">
      <w:headerReference w:type="default" r:id="rId7"/>
      <w:footerReference w:type="default" r:id="rId8"/>
      <w:pgSz w:w="11920" w:h="16840"/>
      <w:pgMar w:top="560" w:right="711" w:bottom="0" w:left="16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2A410" w14:textId="77777777" w:rsidR="00807399" w:rsidRDefault="00807399">
      <w:r>
        <w:separator/>
      </w:r>
    </w:p>
  </w:endnote>
  <w:endnote w:type="continuationSeparator" w:id="0">
    <w:p w14:paraId="4D08178A" w14:textId="77777777" w:rsidR="00807399" w:rsidRDefault="00807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Gotham-ExtraLight">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8FE4" w14:textId="77777777" w:rsidR="007306E4" w:rsidRDefault="00000000">
    <w:pPr>
      <w:pStyle w:val="BodyText"/>
      <w:spacing w:before="76"/>
      <w:ind w:left="1169" w:firstLine="0"/>
      <w:rPr>
        <w:rFonts w:ascii="Tahoma" w:eastAsia="Tahoma" w:hAnsi="Tahoma" w:cs="Tahoma"/>
        <w:color w:val="808080"/>
        <w:sz w:val="14"/>
        <w:szCs w:val="14"/>
        <w:u w:color="808080"/>
      </w:rPr>
    </w:pPr>
    <w:r>
      <w:rPr>
        <w:rFonts w:ascii="Tahoma" w:hAnsi="Tahoma"/>
        <w:color w:val="808080"/>
        <w:spacing w:val="-3"/>
        <w:sz w:val="14"/>
        <w:szCs w:val="14"/>
        <w:u w:color="808080"/>
      </w:rPr>
      <w:t>Registered</w:t>
    </w:r>
    <w:r>
      <w:rPr>
        <w:rFonts w:ascii="Tahoma" w:hAnsi="Tahoma"/>
        <w:color w:val="808080"/>
        <w:spacing w:val="-7"/>
        <w:sz w:val="14"/>
        <w:szCs w:val="14"/>
        <w:u w:color="808080"/>
      </w:rPr>
      <w:t xml:space="preserve"> </w:t>
    </w:r>
    <w:r>
      <w:rPr>
        <w:rFonts w:ascii="Tahoma" w:hAnsi="Tahoma"/>
        <w:color w:val="808080"/>
        <w:spacing w:val="-1"/>
        <w:sz w:val="14"/>
        <w:szCs w:val="14"/>
        <w:u w:color="808080"/>
      </w:rPr>
      <w:t>Charity</w:t>
    </w:r>
    <w:r>
      <w:rPr>
        <w:rFonts w:ascii="Tahoma" w:hAnsi="Tahoma"/>
        <w:color w:val="808080"/>
        <w:spacing w:val="-7"/>
        <w:sz w:val="14"/>
        <w:szCs w:val="14"/>
        <w:u w:color="808080"/>
      </w:rPr>
      <w:t xml:space="preserve"> </w:t>
    </w:r>
    <w:r>
      <w:rPr>
        <w:rFonts w:ascii="Tahoma" w:hAnsi="Tahoma"/>
        <w:color w:val="808080"/>
        <w:sz w:val="14"/>
        <w:szCs w:val="14"/>
        <w:u w:color="808080"/>
      </w:rPr>
      <w:t>No</w:t>
    </w:r>
    <w:r>
      <w:rPr>
        <w:rFonts w:ascii="Tahoma" w:hAnsi="Tahoma"/>
        <w:color w:val="808080"/>
        <w:spacing w:val="-7"/>
        <w:sz w:val="14"/>
        <w:szCs w:val="14"/>
        <w:u w:color="808080"/>
      </w:rPr>
      <w:t xml:space="preserve"> </w:t>
    </w:r>
    <w:r>
      <w:rPr>
        <w:rFonts w:ascii="Tahoma" w:hAnsi="Tahoma"/>
        <w:color w:val="808080"/>
        <w:sz w:val="14"/>
        <w:szCs w:val="14"/>
        <w:u w:color="808080"/>
      </w:rPr>
      <w:t xml:space="preserve">1061568  </w:t>
    </w:r>
    <w:r>
      <w:rPr>
        <w:rFonts w:ascii="Tahoma" w:hAnsi="Tahoma"/>
        <w:color w:val="808080"/>
        <w:spacing w:val="26"/>
        <w:sz w:val="14"/>
        <w:szCs w:val="14"/>
        <w:u w:color="808080"/>
      </w:rPr>
      <w:t xml:space="preserve"> </w:t>
    </w:r>
    <w:r>
      <w:rPr>
        <w:rFonts w:ascii="Tahoma" w:hAnsi="Tahoma"/>
        <w:color w:val="808080"/>
        <w:spacing w:val="-8"/>
        <w:sz w:val="14"/>
        <w:szCs w:val="14"/>
        <w:u w:color="808080"/>
      </w:rPr>
      <w:t>VAT</w:t>
    </w:r>
    <w:r>
      <w:rPr>
        <w:rFonts w:ascii="Tahoma" w:hAnsi="Tahoma"/>
        <w:color w:val="808080"/>
        <w:spacing w:val="-7"/>
        <w:sz w:val="14"/>
        <w:szCs w:val="14"/>
        <w:u w:color="808080"/>
      </w:rPr>
      <w:t xml:space="preserve"> </w:t>
    </w:r>
    <w:r>
      <w:rPr>
        <w:rFonts w:ascii="Tahoma" w:hAnsi="Tahoma"/>
        <w:color w:val="808080"/>
        <w:sz w:val="14"/>
        <w:szCs w:val="14"/>
        <w:u w:color="808080"/>
      </w:rPr>
      <w:t>No</w:t>
    </w:r>
    <w:r>
      <w:rPr>
        <w:rFonts w:ascii="Tahoma" w:hAnsi="Tahoma"/>
        <w:color w:val="808080"/>
        <w:spacing w:val="-7"/>
        <w:sz w:val="14"/>
        <w:szCs w:val="14"/>
        <w:u w:color="808080"/>
      </w:rPr>
      <w:t xml:space="preserve"> </w:t>
    </w:r>
    <w:r>
      <w:rPr>
        <w:rFonts w:ascii="Tahoma" w:hAnsi="Tahoma"/>
        <w:color w:val="808080"/>
        <w:spacing w:val="-1"/>
        <w:sz w:val="14"/>
        <w:szCs w:val="14"/>
        <w:u w:color="808080"/>
      </w:rPr>
      <w:t>477763003</w:t>
    </w:r>
    <w:r>
      <w:rPr>
        <w:rFonts w:ascii="Tahoma" w:hAnsi="Tahoma"/>
        <w:color w:val="808080"/>
        <w:sz w:val="14"/>
        <w:szCs w:val="14"/>
        <w:u w:color="808080"/>
      </w:rPr>
      <w:t xml:space="preserve"> </w:t>
    </w:r>
    <w:r>
      <w:rPr>
        <w:rFonts w:ascii="Tahoma" w:hAnsi="Tahoma"/>
        <w:color w:val="808080"/>
        <w:spacing w:val="26"/>
        <w:sz w:val="14"/>
        <w:szCs w:val="14"/>
        <w:u w:color="808080"/>
      </w:rPr>
      <w:t xml:space="preserve">  </w:t>
    </w:r>
    <w:r>
      <w:rPr>
        <w:rFonts w:ascii="Tahoma" w:hAnsi="Tahoma"/>
        <w:color w:val="808080"/>
        <w:spacing w:val="-2"/>
        <w:sz w:val="14"/>
        <w:szCs w:val="14"/>
        <w:u w:color="808080"/>
      </w:rPr>
      <w:t>Company</w:t>
    </w:r>
    <w:r>
      <w:rPr>
        <w:rFonts w:ascii="Tahoma" w:hAnsi="Tahoma"/>
        <w:color w:val="808080"/>
        <w:spacing w:val="-7"/>
        <w:sz w:val="14"/>
        <w:szCs w:val="14"/>
        <w:u w:color="808080"/>
      </w:rPr>
      <w:t xml:space="preserve"> </w:t>
    </w:r>
    <w:r>
      <w:rPr>
        <w:rFonts w:ascii="Tahoma" w:hAnsi="Tahoma"/>
        <w:color w:val="808080"/>
        <w:spacing w:val="-2"/>
        <w:sz w:val="14"/>
        <w:szCs w:val="14"/>
        <w:u w:color="808080"/>
      </w:rPr>
      <w:t>Limited</w:t>
    </w:r>
    <w:r>
      <w:rPr>
        <w:rFonts w:ascii="Tahoma" w:hAnsi="Tahoma"/>
        <w:color w:val="808080"/>
        <w:spacing w:val="-7"/>
        <w:sz w:val="14"/>
        <w:szCs w:val="14"/>
        <w:u w:color="808080"/>
      </w:rPr>
      <w:t xml:space="preserve"> </w:t>
    </w:r>
    <w:r>
      <w:rPr>
        <w:rFonts w:ascii="Tahoma" w:hAnsi="Tahoma"/>
        <w:color w:val="808080"/>
        <w:spacing w:val="-3"/>
        <w:sz w:val="14"/>
        <w:szCs w:val="14"/>
        <w:u w:color="808080"/>
      </w:rPr>
      <w:t>by</w:t>
    </w:r>
    <w:r>
      <w:rPr>
        <w:rFonts w:ascii="Tahoma" w:hAnsi="Tahoma"/>
        <w:color w:val="808080"/>
        <w:spacing w:val="-7"/>
        <w:sz w:val="14"/>
        <w:szCs w:val="14"/>
        <w:u w:color="808080"/>
      </w:rPr>
      <w:t xml:space="preserve"> </w:t>
    </w:r>
    <w:r>
      <w:rPr>
        <w:rFonts w:ascii="Tahoma" w:hAnsi="Tahoma"/>
        <w:color w:val="808080"/>
        <w:spacing w:val="-2"/>
        <w:sz w:val="14"/>
        <w:szCs w:val="14"/>
        <w:u w:color="808080"/>
      </w:rPr>
      <w:t>Guarantee</w:t>
    </w:r>
    <w:r>
      <w:rPr>
        <w:rFonts w:ascii="Tahoma" w:hAnsi="Tahoma"/>
        <w:color w:val="808080"/>
        <w:spacing w:val="-7"/>
        <w:sz w:val="14"/>
        <w:szCs w:val="14"/>
        <w:u w:color="808080"/>
      </w:rPr>
      <w:t xml:space="preserve"> </w:t>
    </w:r>
    <w:r>
      <w:rPr>
        <w:rFonts w:ascii="Tahoma" w:hAnsi="Tahoma"/>
        <w:color w:val="808080"/>
        <w:sz w:val="14"/>
        <w:szCs w:val="14"/>
        <w:u w:color="808080"/>
      </w:rPr>
      <w:t>3336101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C0B7D" w14:textId="77777777" w:rsidR="00807399" w:rsidRDefault="00807399">
      <w:r>
        <w:separator/>
      </w:r>
    </w:p>
  </w:footnote>
  <w:footnote w:type="continuationSeparator" w:id="0">
    <w:p w14:paraId="4B98FF49" w14:textId="77777777" w:rsidR="00807399" w:rsidRDefault="00807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269F7" w14:textId="77777777" w:rsidR="007306E4" w:rsidRDefault="007306E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9441F"/>
    <w:multiLevelType w:val="hybridMultilevel"/>
    <w:tmpl w:val="3FF872E4"/>
    <w:numStyleLink w:val="ImportedStyle1"/>
  </w:abstractNum>
  <w:abstractNum w:abstractNumId="1" w15:restartNumberingAfterBreak="0">
    <w:nsid w:val="5ED014E7"/>
    <w:multiLevelType w:val="hybridMultilevel"/>
    <w:tmpl w:val="3FF872E4"/>
    <w:styleLink w:val="ImportedStyle1"/>
    <w:lvl w:ilvl="0" w:tplc="0B980C3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8BA0A5C">
      <w:start w:val="1"/>
      <w:numFmt w:val="decimal"/>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42EABE0">
      <w:start w:val="1"/>
      <w:numFmt w:val="decimal"/>
      <w:lvlText w:val="%3."/>
      <w:lvlJc w:val="left"/>
      <w:pPr>
        <w:tabs>
          <w:tab w:val="left" w:pos="3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046F770">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15E9662">
      <w:start w:val="1"/>
      <w:numFmt w:val="decimal"/>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10402EC">
      <w:start w:val="1"/>
      <w:numFmt w:val="decimal"/>
      <w:lvlText w:val="%6."/>
      <w:lvlJc w:val="left"/>
      <w:pPr>
        <w:tabs>
          <w:tab w:val="left" w:pos="36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65E9682">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DA7468">
      <w:start w:val="1"/>
      <w:numFmt w:val="decimal"/>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028DF2">
      <w:start w:val="1"/>
      <w:numFmt w:val="decimal"/>
      <w:lvlText w:val="%9."/>
      <w:lvlJc w:val="left"/>
      <w:pPr>
        <w:tabs>
          <w:tab w:val="left" w:pos="36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53578506">
    <w:abstractNumId w:val="1"/>
  </w:num>
  <w:num w:numId="2" w16cid:durableId="2037732281">
    <w:abstractNumId w:val="0"/>
  </w:num>
  <w:num w:numId="3" w16cid:durableId="492262828">
    <w:abstractNumId w:val="0"/>
    <w:lvlOverride w:ilvl="0">
      <w:lvl w:ilvl="0" w:tplc="37CE3D7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446333E">
        <w:start w:val="1"/>
        <w:numFmt w:val="decimal"/>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2306A5E">
        <w:start w:val="1"/>
        <w:numFmt w:val="decimal"/>
        <w:lvlText w:val="%3."/>
        <w:lvlJc w:val="left"/>
        <w:pPr>
          <w:tabs>
            <w:tab w:val="left" w:pos="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9085BCE">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C545DE0">
        <w:start w:val="1"/>
        <w:numFmt w:val="decimal"/>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CFA140C">
        <w:start w:val="1"/>
        <w:numFmt w:val="decimal"/>
        <w:lvlText w:val="%6."/>
        <w:lvlJc w:val="left"/>
        <w:pPr>
          <w:tabs>
            <w:tab w:val="left" w:pos="36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4DA11BC">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560BE04">
        <w:start w:val="1"/>
        <w:numFmt w:val="decimal"/>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94C353E">
        <w:start w:val="1"/>
        <w:numFmt w:val="decimal"/>
        <w:lvlText w:val="%9."/>
        <w:lvlJc w:val="left"/>
        <w:pPr>
          <w:tabs>
            <w:tab w:val="left" w:pos="36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E4"/>
    <w:rsid w:val="000A6890"/>
    <w:rsid w:val="002415E0"/>
    <w:rsid w:val="005A486B"/>
    <w:rsid w:val="007306E4"/>
    <w:rsid w:val="0078248C"/>
    <w:rsid w:val="00800024"/>
    <w:rsid w:val="00807399"/>
    <w:rsid w:val="008503D1"/>
    <w:rsid w:val="00A64548"/>
    <w:rsid w:val="00C11892"/>
    <w:rsid w:val="00D159DB"/>
    <w:rsid w:val="00D35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779D"/>
  <w15:docId w15:val="{FDF41901-8313-42D1-B4FF-2CB0F8C8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BodyText">
    <w:name w:val="Body Text"/>
    <w:pPr>
      <w:widowControl w:val="0"/>
      <w:spacing w:before="69"/>
      <w:ind w:left="1999" w:hanging="1556"/>
    </w:pPr>
    <w:rPr>
      <w:rFonts w:ascii="Gotham-ExtraLight" w:eastAsia="Gotham-ExtraLight" w:hAnsi="Gotham-ExtraLight" w:cs="Gotham-ExtraLight"/>
      <w:color w:val="000000"/>
      <w:sz w:val="18"/>
      <w:szCs w:val="18"/>
      <w:u w:color="000000"/>
      <w:lang w:val="en-US"/>
    </w:rPr>
  </w:style>
  <w:style w:type="paragraph" w:customStyle="1" w:styleId="Body">
    <w:name w:val="Body"/>
    <w:pPr>
      <w:widowControl w:val="0"/>
    </w:pPr>
    <w:rPr>
      <w:rFonts w:cs="Arial Unicode MS"/>
      <w:color w:val="000000"/>
      <w:sz w:val="24"/>
      <w:szCs w:val="24"/>
      <w:u w:color="000000"/>
      <w:lang w:val="en-US"/>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2479</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Barbara Braysher</cp:lastModifiedBy>
  <cp:revision>5</cp:revision>
  <dcterms:created xsi:type="dcterms:W3CDTF">2025-04-16T19:11:00Z</dcterms:created>
  <dcterms:modified xsi:type="dcterms:W3CDTF">2025-04-23T08:03:00Z</dcterms:modified>
</cp:coreProperties>
</file>